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AC" w:rsidRDefault="00D42FA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2431E9D727240699E08DED4EB7B9DB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42FAC" w:rsidRPr="00585C31" w:rsidRDefault="00D42FAC" w:rsidP="000F1DF9">
      <w:pPr>
        <w:spacing w:after="0" w:line="240" w:lineRule="auto"/>
        <w:rPr>
          <w:rFonts w:cs="Times New Roman"/>
          <w:szCs w:val="24"/>
        </w:rPr>
      </w:pPr>
    </w:p>
    <w:p w:rsidR="00D42FAC" w:rsidRPr="00585C31" w:rsidRDefault="00D42FA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42FAC" w:rsidTr="000F1DF9">
        <w:tc>
          <w:tcPr>
            <w:tcW w:w="2718" w:type="dxa"/>
          </w:tcPr>
          <w:p w:rsidR="00D42FAC" w:rsidRPr="005C2A78" w:rsidRDefault="00D42FA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2902CFB05D6494A9D90EAEE649FEBE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42FAC" w:rsidRPr="00FF6471" w:rsidRDefault="00D42FA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34D1237BC184796A9D2191E0DE2D0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1434</w:t>
                </w:r>
              </w:sdtContent>
            </w:sdt>
          </w:p>
        </w:tc>
      </w:tr>
      <w:tr w:rsidR="00D42FA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0B305D818E246F4B6994BA4646EB9C2"/>
            </w:placeholder>
          </w:sdtPr>
          <w:sdtContent>
            <w:tc>
              <w:tcPr>
                <w:tcW w:w="2718" w:type="dxa"/>
              </w:tcPr>
              <w:p w:rsidR="00D42FAC" w:rsidRPr="000F1DF9" w:rsidRDefault="00D42FA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87R17619 EAS-F</w:t>
                </w:r>
              </w:p>
            </w:tc>
          </w:sdtContent>
        </w:sdt>
        <w:tc>
          <w:tcPr>
            <w:tcW w:w="6858" w:type="dxa"/>
          </w:tcPr>
          <w:p w:rsidR="00D42FAC" w:rsidRPr="005C2A78" w:rsidRDefault="00D42FA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65AE32CD72A43E287C9A95FF9FFCD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21D3FB7429144258DFEFF9A11DA25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Oliverson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A52811147E946C5BFE922E1B77D04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027BA9C2DA9439B9C8B9634F5604952"/>
                </w:placeholder>
                <w:showingPlcHdr/>
              </w:sdtPr>
              <w:sdtContent/>
            </w:sdt>
          </w:p>
        </w:tc>
      </w:tr>
      <w:tr w:rsidR="00D42FAC" w:rsidTr="000F1DF9">
        <w:tc>
          <w:tcPr>
            <w:tcW w:w="2718" w:type="dxa"/>
          </w:tcPr>
          <w:p w:rsidR="00D42FAC" w:rsidRPr="00BC7495" w:rsidRDefault="00D42FA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2794AD0CDF54F1AB2C55D2691A51084"/>
            </w:placeholder>
          </w:sdtPr>
          <w:sdtContent>
            <w:tc>
              <w:tcPr>
                <w:tcW w:w="6858" w:type="dxa"/>
              </w:tcPr>
              <w:p w:rsidR="00D42FAC" w:rsidRPr="00FF6471" w:rsidRDefault="00D42FA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D42FAC" w:rsidTr="000F1DF9">
        <w:tc>
          <w:tcPr>
            <w:tcW w:w="2718" w:type="dxa"/>
          </w:tcPr>
          <w:p w:rsidR="00D42FAC" w:rsidRPr="00BC7495" w:rsidRDefault="00D42FA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32CF85010204F67B469A57B8E259494"/>
            </w:placeholder>
            <w:date w:fullDate="2021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42FAC" w:rsidRPr="00FF6471" w:rsidRDefault="00D42FA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5/10/2021</w:t>
                </w:r>
              </w:p>
            </w:tc>
          </w:sdtContent>
        </w:sdt>
      </w:tr>
      <w:tr w:rsidR="00D42FAC" w:rsidTr="000F1DF9">
        <w:tc>
          <w:tcPr>
            <w:tcW w:w="2718" w:type="dxa"/>
          </w:tcPr>
          <w:p w:rsidR="00D42FAC" w:rsidRPr="00BC7495" w:rsidRDefault="00D42FA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A5B845B70B74F21B72C6CA0D27E53A0"/>
            </w:placeholder>
          </w:sdtPr>
          <w:sdtContent>
            <w:tc>
              <w:tcPr>
                <w:tcW w:w="6858" w:type="dxa"/>
              </w:tcPr>
              <w:p w:rsidR="00D42FAC" w:rsidRPr="00FF6471" w:rsidRDefault="00D42FA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42FAC" w:rsidRPr="00FF6471" w:rsidRDefault="00D42FAC" w:rsidP="000F1DF9">
      <w:pPr>
        <w:spacing w:after="0" w:line="240" w:lineRule="auto"/>
        <w:rPr>
          <w:rFonts w:cs="Times New Roman"/>
          <w:szCs w:val="24"/>
        </w:rPr>
      </w:pPr>
    </w:p>
    <w:p w:rsidR="00D42FAC" w:rsidRPr="00FF6471" w:rsidRDefault="00D42FAC" w:rsidP="000F1DF9">
      <w:pPr>
        <w:spacing w:after="0" w:line="240" w:lineRule="auto"/>
        <w:rPr>
          <w:rFonts w:cs="Times New Roman"/>
          <w:szCs w:val="24"/>
        </w:rPr>
      </w:pPr>
    </w:p>
    <w:p w:rsidR="00D42FAC" w:rsidRPr="00FF6471" w:rsidRDefault="00D42FA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DAD0D6BC314427F9A5FD2B3B4552B7E"/>
        </w:placeholder>
      </w:sdtPr>
      <w:sdtContent>
        <w:p w:rsidR="00D42FAC" w:rsidRDefault="00D42FA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B70125B28EE4111B3A62A2998E1A448"/>
        </w:placeholder>
      </w:sdtPr>
      <w:sdtContent>
        <w:p w:rsidR="00D42FAC" w:rsidRDefault="00D42FAC" w:rsidP="00D42FAC">
          <w:pPr>
            <w:pStyle w:val="NormalWeb"/>
            <w:spacing w:before="0" w:beforeAutospacing="0" w:after="0" w:afterAutospacing="0"/>
            <w:jc w:val="both"/>
            <w:divId w:val="551692740"/>
            <w:rPr>
              <w:rFonts w:eastAsia="Times New Roman"/>
              <w:bCs/>
            </w:rPr>
          </w:pPr>
        </w:p>
        <w:p w:rsidR="00D42FAC" w:rsidRPr="00153553" w:rsidRDefault="00D42FAC" w:rsidP="00D42FAC">
          <w:pPr>
            <w:pStyle w:val="NormalWeb"/>
            <w:spacing w:before="0" w:beforeAutospacing="0" w:after="0" w:afterAutospacing="0"/>
            <w:jc w:val="both"/>
            <w:divId w:val="551692740"/>
            <w:rPr>
              <w:color w:val="000000"/>
            </w:rPr>
          </w:pPr>
          <w:r w:rsidRPr="00153553">
            <w:rPr>
              <w:color w:val="000000"/>
            </w:rPr>
            <w:t>Obtaining informed consent to certain medical procedures means that health professionals must inform patients of all the necessary information they should know before consenting to health</w:t>
          </w:r>
          <w:r>
            <w:rPr>
              <w:color w:val="000000"/>
            </w:rPr>
            <w:t xml:space="preserve"> care, protecting the patient'</w:t>
          </w:r>
          <w:r w:rsidRPr="00153553">
            <w:rPr>
              <w:color w:val="000000"/>
            </w:rPr>
            <w:t>s autonomy when making decisions about his or her health. In some cases, medical students in Texas have been directed to perform pelvic exa</w:t>
          </w:r>
          <w:r>
            <w:rPr>
              <w:color w:val="000000"/>
            </w:rPr>
            <w:t>minations without the patient'</w:t>
          </w:r>
          <w:r w:rsidRPr="00153553">
            <w:rPr>
              <w:color w:val="000000"/>
            </w:rPr>
            <w:t>s informed consent, for educational purposes on unconscious or anesthetized patients. H</w:t>
          </w:r>
          <w:r>
            <w:rPr>
              <w:color w:val="000000"/>
            </w:rPr>
            <w:t>.</w:t>
          </w:r>
          <w:r w:rsidRPr="0015355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53553">
            <w:rPr>
              <w:color w:val="000000"/>
            </w:rPr>
            <w:t xml:space="preserve"> 1434 would prohibit a health care practitioner from performing or delegating another to perform a pelvic examination on an unconscious or anesthetized patient unless the exam</w:t>
          </w:r>
          <w:r>
            <w:rPr>
              <w:color w:val="000000"/>
            </w:rPr>
            <w:t xml:space="preserve">ination </w:t>
          </w:r>
          <w:r w:rsidRPr="00153553">
            <w:rPr>
              <w:color w:val="000000"/>
            </w:rPr>
            <w:t xml:space="preserve"> is within the standard scope of procedure and the patient or his or her legally authorized representative gives informed consent. </w:t>
          </w:r>
        </w:p>
        <w:p w:rsidR="00D42FAC" w:rsidRPr="00D70925" w:rsidRDefault="00D42FAC" w:rsidP="00D42FA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42FAC" w:rsidRDefault="00D42FA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limitations on pelvic examinations and authorizes disciplinary action, including an administrative penalty.</w:t>
      </w:r>
    </w:p>
    <w:p w:rsidR="00D42FAC" w:rsidRPr="00712619" w:rsidRDefault="00D42FA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2FAC" w:rsidRPr="005C2A78" w:rsidRDefault="00D42FA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2CF1B68F9AC402A87503EE1C89A3A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42FAC" w:rsidRPr="006529C4" w:rsidRDefault="00D42FA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2FAC" w:rsidRPr="006529C4" w:rsidRDefault="00D42FA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42FAC" w:rsidRPr="006529C4" w:rsidRDefault="00D42FA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2FAC" w:rsidRPr="005C2A78" w:rsidRDefault="00D42FA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8CB9F5F13A4402398E1E1AEFDCAD08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42FAC" w:rsidRPr="005C2A78" w:rsidRDefault="00D42FA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2FAC" w:rsidRDefault="00D42FAC" w:rsidP="00D42FAC">
      <w:pPr>
        <w:spacing w:line="240" w:lineRule="auto"/>
        <w:jc w:val="both"/>
      </w:pPr>
      <w:r>
        <w:t>SECTION 1. Amends Subtitle H, Title 2, Health and Safety Code, by adding Chapter 167A, as follows:</w:t>
      </w:r>
    </w:p>
    <w:p w:rsidR="00D42FAC" w:rsidRPr="00712619" w:rsidRDefault="00D42FAC" w:rsidP="00D42FAC">
      <w:pPr>
        <w:spacing w:line="240" w:lineRule="auto"/>
        <w:jc w:val="center"/>
      </w:pPr>
      <w:r>
        <w:t xml:space="preserve">CHAPTER 167A. </w:t>
      </w:r>
      <w:r w:rsidRPr="00712619">
        <w:t>PELVIC EXAMINATIONS</w:t>
      </w:r>
    </w:p>
    <w:p w:rsidR="00D42FAC" w:rsidRDefault="00D42FAC" w:rsidP="00D42FAC">
      <w:pPr>
        <w:spacing w:line="240" w:lineRule="auto"/>
        <w:ind w:left="720"/>
        <w:jc w:val="both"/>
      </w:pPr>
      <w:r>
        <w:t>Sec. 167A.001. DEFINITIONS. Defines "health care practitioner," "p</w:t>
      </w:r>
      <w:r w:rsidRPr="00712619">
        <w:t>atient's legally authorized representative</w:t>
      </w:r>
      <w:r>
        <w:t>," and</w:t>
      </w:r>
      <w:r w:rsidRPr="00712619">
        <w:t> </w:t>
      </w:r>
      <w:r>
        <w:t xml:space="preserve">"pelvic examination." </w:t>
      </w:r>
    </w:p>
    <w:p w:rsidR="00D42FAC" w:rsidRPr="00712619" w:rsidRDefault="00D42FAC" w:rsidP="00D42FAC">
      <w:pPr>
        <w:spacing w:line="240" w:lineRule="auto"/>
        <w:ind w:left="720"/>
        <w:jc w:val="both"/>
      </w:pPr>
      <w:r>
        <w:t>Sec. 167A.002. </w:t>
      </w:r>
      <w:r w:rsidRPr="00712619">
        <w:t xml:space="preserve">LIMITATIONS </w:t>
      </w:r>
      <w:r>
        <w:t>ON CERTAIN PELVIC EXAMINATIONS. (a) Prohibits a</w:t>
      </w:r>
      <w:r w:rsidRPr="00712619">
        <w:t xml:space="preserve"> health care practitioner </w:t>
      </w:r>
      <w:r>
        <w:t xml:space="preserve">from performing or delegating </w:t>
      </w:r>
      <w:r w:rsidRPr="00712619">
        <w:t>to another individual, including a student training to become a health care practitioner, the performance of a pelvic examination on an anesthetized or unconscious patient unless:</w:t>
      </w:r>
    </w:p>
    <w:p w:rsidR="00D42FAC" w:rsidRPr="00712619" w:rsidRDefault="00D42FAC" w:rsidP="00D42FAC">
      <w:pPr>
        <w:spacing w:line="240" w:lineRule="auto"/>
        <w:ind w:left="2160"/>
        <w:jc w:val="both"/>
      </w:pPr>
      <w:r>
        <w:t>(1) </w:t>
      </w:r>
      <w:r w:rsidRPr="00712619">
        <w:t>the pelvic examination is within the standard scope of a procedure or diagnostic examination scheduled to be performed on the patient;</w:t>
      </w:r>
    </w:p>
    <w:p w:rsidR="00D42FAC" w:rsidRPr="00712619" w:rsidRDefault="00D42FAC" w:rsidP="00D42FAC">
      <w:pPr>
        <w:spacing w:line="240" w:lineRule="auto"/>
        <w:ind w:left="2160"/>
        <w:jc w:val="both"/>
      </w:pPr>
      <w:r>
        <w:t>(2)</w:t>
      </w:r>
      <w:r w:rsidRPr="00712619">
        <w:t xml:space="preserve"> the patient or the patient's legally authorized representative gives informed consent for the pelvic examination as provided by Subsection (b); </w:t>
      </w:r>
    </w:p>
    <w:p w:rsidR="00D42FAC" w:rsidRPr="00712619" w:rsidRDefault="00D42FAC" w:rsidP="00D42FAC">
      <w:pPr>
        <w:spacing w:line="240" w:lineRule="auto"/>
        <w:ind w:left="2160"/>
        <w:jc w:val="both"/>
      </w:pPr>
      <w:r>
        <w:t>(3) </w:t>
      </w:r>
      <w:r w:rsidRPr="00712619">
        <w:t>the pelvic examination is necessary for diagnosis or treatment of the patient's medical condition; or</w:t>
      </w:r>
    </w:p>
    <w:p w:rsidR="00D42FAC" w:rsidRPr="00712619" w:rsidRDefault="00D42FAC" w:rsidP="00D42FAC">
      <w:pPr>
        <w:spacing w:line="240" w:lineRule="auto"/>
        <w:ind w:left="720" w:firstLine="1440"/>
        <w:jc w:val="both"/>
      </w:pPr>
      <w:r>
        <w:t>(4)</w:t>
      </w:r>
      <w:r w:rsidRPr="00712619">
        <w:t> the pelvic examination is for the purpose of collecting evidence.</w:t>
      </w:r>
    </w:p>
    <w:p w:rsidR="00D42FAC" w:rsidRPr="00712619" w:rsidRDefault="00D42FAC" w:rsidP="00D42FAC">
      <w:pPr>
        <w:spacing w:line="240" w:lineRule="auto"/>
        <w:ind w:left="1440"/>
        <w:jc w:val="both"/>
      </w:pPr>
      <w:r>
        <w:t>(b) Requires a</w:t>
      </w:r>
      <w:r w:rsidRPr="00712619">
        <w:t xml:space="preserve"> health care practitioner</w:t>
      </w:r>
      <w:r>
        <w:t>, t</w:t>
      </w:r>
      <w:r w:rsidRPr="00712619">
        <w:t>o obtain informed consent to perform a pelvic examination on an unconscious or anesthetiz</w:t>
      </w:r>
      <w:r>
        <w:t>ed patient, to</w:t>
      </w:r>
      <w:r w:rsidRPr="00712619">
        <w:t>:</w:t>
      </w:r>
    </w:p>
    <w:p w:rsidR="00D42FAC" w:rsidRPr="00712619" w:rsidRDefault="00D42FAC" w:rsidP="00D42FAC">
      <w:pPr>
        <w:spacing w:line="240" w:lineRule="auto"/>
        <w:ind w:left="2160"/>
        <w:jc w:val="both"/>
      </w:pPr>
      <w:r>
        <w:t>(1)</w:t>
      </w:r>
      <w:r w:rsidRPr="00712619">
        <w:t> provide the patient or the patient's legally authorized representative with a written or electronic informed consent form that:</w:t>
      </w:r>
    </w:p>
    <w:p w:rsidR="00D42FAC" w:rsidRPr="00712619" w:rsidRDefault="00D42FAC" w:rsidP="00D42FAC">
      <w:pPr>
        <w:spacing w:line="240" w:lineRule="auto"/>
        <w:ind w:left="2880"/>
        <w:jc w:val="both"/>
      </w:pPr>
      <w:r>
        <w:t>(A) is authorized to</w:t>
      </w:r>
      <w:r w:rsidRPr="00712619">
        <w:t xml:space="preserve"> be included as a distinct or separate section of a general informed consent form; </w:t>
      </w:r>
    </w:p>
    <w:p w:rsidR="00D42FAC" w:rsidRPr="00712619" w:rsidRDefault="00D42FAC" w:rsidP="00D42FAC">
      <w:pPr>
        <w:spacing w:line="240" w:lineRule="auto"/>
        <w:ind w:left="2880"/>
        <w:jc w:val="both"/>
      </w:pPr>
      <w:r>
        <w:t>(B) </w:t>
      </w:r>
      <w:r w:rsidRPr="00712619">
        <w:t>contains the following heading at the top of the form in at least 18-point boldface type: "CONSENT FOR EXAMINATION OF PELVIC REGION";</w:t>
      </w:r>
    </w:p>
    <w:p w:rsidR="00D42FAC" w:rsidRPr="00712619" w:rsidRDefault="00D42FAC" w:rsidP="00D42FAC">
      <w:pPr>
        <w:spacing w:line="240" w:lineRule="auto"/>
        <w:ind w:left="720" w:firstLine="2160"/>
        <w:jc w:val="both"/>
      </w:pPr>
      <w:r>
        <w:t>(C) </w:t>
      </w:r>
      <w:r w:rsidRPr="00712619">
        <w:t xml:space="preserve">specifies the nature and purpose of the pelvic examination; </w:t>
      </w:r>
    </w:p>
    <w:p w:rsidR="00D42FAC" w:rsidRPr="00712619" w:rsidRDefault="00D42FAC" w:rsidP="00D42FAC">
      <w:pPr>
        <w:spacing w:line="240" w:lineRule="auto"/>
        <w:ind w:left="2880"/>
        <w:jc w:val="both"/>
      </w:pPr>
      <w:r>
        <w:t>(D) </w:t>
      </w:r>
      <w:r w:rsidRPr="00712619">
        <w:t xml:space="preserve">informs the patient or the patient's legally authorized representative that a medical student or resident </w:t>
      </w:r>
      <w:r>
        <w:t>is authorized to</w:t>
      </w:r>
      <w:r w:rsidRPr="00712619">
        <w:t xml:space="preserve"> be present if the patient or the patient's legally authorized representative authori</w:t>
      </w:r>
      <w:r>
        <w:t>zes the student or resident to:</w:t>
      </w:r>
      <w:r w:rsidRPr="00712619">
        <w:t xml:space="preserve"> </w:t>
      </w:r>
    </w:p>
    <w:p w:rsidR="00D42FAC" w:rsidRPr="00712619" w:rsidRDefault="00D42FAC" w:rsidP="00D42FAC">
      <w:pPr>
        <w:spacing w:line="240" w:lineRule="auto"/>
        <w:ind w:left="720" w:firstLine="2880"/>
        <w:jc w:val="both"/>
      </w:pPr>
      <w:r>
        <w:t>(i)</w:t>
      </w:r>
      <w:r w:rsidRPr="00712619">
        <w:t xml:space="preserve"> perform the pelvic examination; or </w:t>
      </w:r>
    </w:p>
    <w:p w:rsidR="00D42FAC" w:rsidRPr="00712619" w:rsidRDefault="00D42FAC" w:rsidP="00D42FAC">
      <w:pPr>
        <w:spacing w:line="240" w:lineRule="auto"/>
        <w:ind w:left="3600"/>
        <w:jc w:val="both"/>
      </w:pPr>
      <w:r>
        <w:t>(ii) </w:t>
      </w:r>
      <w:r w:rsidRPr="00712619">
        <w:t xml:space="preserve">observe or otherwise be present at the pelvic examination, either in person or through electronic means; </w:t>
      </w:r>
    </w:p>
    <w:p w:rsidR="00D42FAC" w:rsidRPr="00712619" w:rsidRDefault="00D42FAC" w:rsidP="00D42FAC">
      <w:pPr>
        <w:spacing w:line="240" w:lineRule="auto"/>
        <w:ind w:left="2880"/>
        <w:jc w:val="both"/>
      </w:pPr>
      <w:r>
        <w:t>(E) </w:t>
      </w:r>
      <w:r w:rsidRPr="00712619">
        <w:t>allows the patient or the patient's legally authorized representative the opportunity to consent to or refuse to consent to the pelvic examination; and</w:t>
      </w:r>
    </w:p>
    <w:p w:rsidR="00D42FAC" w:rsidRPr="00712619" w:rsidRDefault="00D42FAC" w:rsidP="00D42FAC">
      <w:pPr>
        <w:spacing w:line="240" w:lineRule="auto"/>
        <w:ind w:left="2880"/>
        <w:jc w:val="both"/>
      </w:pPr>
      <w:r>
        <w:t>(F)</w:t>
      </w:r>
      <w:r w:rsidRPr="00712619">
        <w:t xml:space="preserve"> allows a patient or a patient's legally authorized representative that consents to a pelvic examination under Paragraph (E) the opportunity to authorize or refuse to authorize: </w:t>
      </w:r>
    </w:p>
    <w:p w:rsidR="00D42FAC" w:rsidRPr="00712619" w:rsidRDefault="00D42FAC" w:rsidP="00D42FAC">
      <w:pPr>
        <w:spacing w:line="240" w:lineRule="auto"/>
        <w:ind w:left="3600"/>
        <w:jc w:val="both"/>
      </w:pPr>
      <w:r>
        <w:t>(i) </w:t>
      </w:r>
      <w:r w:rsidRPr="00712619">
        <w:t>a medical student or resident to perform the pelvic examination; or</w:t>
      </w:r>
    </w:p>
    <w:p w:rsidR="00D42FAC" w:rsidRPr="00712619" w:rsidRDefault="00D42FAC" w:rsidP="00D42FAC">
      <w:pPr>
        <w:spacing w:line="240" w:lineRule="auto"/>
        <w:ind w:left="3600"/>
        <w:jc w:val="both"/>
      </w:pPr>
      <w:r>
        <w:t>(ii) </w:t>
      </w:r>
      <w:r w:rsidRPr="00712619">
        <w:t>a medical student or resident to observe or otherwise be present at the pelvic examination, either in person or through electronic means;</w:t>
      </w:r>
    </w:p>
    <w:p w:rsidR="00D42FAC" w:rsidRPr="00712619" w:rsidRDefault="00D42FAC" w:rsidP="00D42FAC">
      <w:pPr>
        <w:spacing w:line="240" w:lineRule="auto"/>
        <w:ind w:left="2160"/>
        <w:jc w:val="both"/>
      </w:pPr>
      <w:r>
        <w:t>(2) </w:t>
      </w:r>
      <w:r w:rsidRPr="00712619">
        <w:t>obtain the signature of the patient or the patient's legally authorized representative on the informed consent form; and</w:t>
      </w:r>
    </w:p>
    <w:p w:rsidR="00D42FAC" w:rsidRPr="00712619" w:rsidRDefault="00D42FAC" w:rsidP="00D42FAC">
      <w:pPr>
        <w:spacing w:line="240" w:lineRule="auto"/>
        <w:ind w:left="720" w:firstLine="1440"/>
        <w:jc w:val="both"/>
      </w:pPr>
      <w:r>
        <w:t>(3) </w:t>
      </w:r>
      <w:r w:rsidRPr="00712619">
        <w:t xml:space="preserve">sign the informed consent form. </w:t>
      </w:r>
    </w:p>
    <w:p w:rsidR="00D42FAC" w:rsidRPr="00712619" w:rsidRDefault="00D42FAC" w:rsidP="00D42FAC">
      <w:pPr>
        <w:spacing w:line="240" w:lineRule="auto"/>
        <w:ind w:left="720"/>
        <w:jc w:val="both"/>
      </w:pPr>
      <w:r w:rsidRPr="00712619">
        <w:t>Sec. </w:t>
      </w:r>
      <w:r>
        <w:t>167A.003. DISCIPLINARY ACTION.</w:t>
      </w:r>
      <w:r w:rsidRPr="00712619">
        <w:t xml:space="preserve"> </w:t>
      </w:r>
      <w:r>
        <w:t>Authorizes the</w:t>
      </w:r>
      <w:r w:rsidRPr="00712619">
        <w:t xml:space="preserve"> appropriate licensing authority </w:t>
      </w:r>
      <w:r>
        <w:t xml:space="preserve">to </w:t>
      </w:r>
      <w:r w:rsidRPr="00712619">
        <w:t>take disciplinary action against a health care practitioner who violates Section 167A.002, including imposing an administrative penalty, as if the practitioner violated an applicable licensing law.</w:t>
      </w:r>
    </w:p>
    <w:p w:rsidR="00D42FAC" w:rsidRDefault="00D42FAC" w:rsidP="00D42FAC">
      <w:pPr>
        <w:spacing w:line="240" w:lineRule="auto"/>
        <w:jc w:val="both"/>
      </w:pPr>
      <w:r>
        <w:t>SECTION 2. Amends Section 164.052(a), Occupations Code, as follows:</w:t>
      </w:r>
    </w:p>
    <w:p w:rsidR="00D42FAC" w:rsidRDefault="00D42FAC" w:rsidP="00D42FAC">
      <w:pPr>
        <w:spacing w:line="240" w:lineRule="auto"/>
        <w:ind w:left="720"/>
        <w:jc w:val="both"/>
      </w:pPr>
      <w:r>
        <w:t>(a) Provides that a physician or an applicant for a license to practice medicine commits a prohibited practice if that person:</w:t>
      </w:r>
    </w:p>
    <w:p w:rsidR="00D42FAC" w:rsidRDefault="00D42FAC" w:rsidP="00D42FAC">
      <w:pPr>
        <w:spacing w:line="240" w:lineRule="auto"/>
        <w:ind w:left="720"/>
        <w:jc w:val="both"/>
      </w:pPr>
      <w:r>
        <w:tab/>
        <w:t>(1) - (20) makes no changes to these subdivisions;</w:t>
      </w:r>
    </w:p>
    <w:p w:rsidR="00D42FAC" w:rsidRDefault="00D42FAC" w:rsidP="00D42FAC">
      <w:pPr>
        <w:spacing w:line="240" w:lineRule="auto"/>
        <w:ind w:firstLine="1440"/>
        <w:jc w:val="both"/>
      </w:pPr>
      <w:r>
        <w:t xml:space="preserve">(21) and (22) makes nonsubstantive changes to these subdivisions; or </w:t>
      </w:r>
    </w:p>
    <w:p w:rsidR="00D42FAC" w:rsidRPr="00712619" w:rsidRDefault="00D42FAC" w:rsidP="00D42FAC">
      <w:pPr>
        <w:spacing w:line="240" w:lineRule="auto"/>
        <w:ind w:left="1440"/>
        <w:jc w:val="both"/>
      </w:pPr>
      <w:r>
        <w:t>(23)</w:t>
      </w:r>
      <w:r w:rsidRPr="00712619">
        <w:t> performs or delegates to another individual the performance of a pelvic examination on an anesthetized or unconscious patient in violation of Section 167A.002, Health and Safety Code.</w:t>
      </w:r>
    </w:p>
    <w:p w:rsidR="00D42FAC" w:rsidRDefault="00D42FAC" w:rsidP="00D42FAC">
      <w:pPr>
        <w:spacing w:line="240" w:lineRule="auto"/>
        <w:jc w:val="both"/>
      </w:pPr>
      <w:r>
        <w:t>SECTION 3. Amends Section 301.452(b), Occupations Code, as follows:</w:t>
      </w:r>
    </w:p>
    <w:p w:rsidR="00D42FAC" w:rsidRDefault="00D42FAC" w:rsidP="00D42FAC">
      <w:pPr>
        <w:spacing w:line="240" w:lineRule="auto"/>
        <w:ind w:left="720"/>
        <w:jc w:val="both"/>
      </w:pPr>
      <w:r>
        <w:t>(b) Provides that a person is subject to denial of a license or to disciplinary action under Subchapter J (Prohibited Practices and Disciplinary Actions) for:</w:t>
      </w:r>
    </w:p>
    <w:p w:rsidR="00D42FAC" w:rsidRDefault="00D42FAC" w:rsidP="00D42FAC">
      <w:pPr>
        <w:spacing w:line="240" w:lineRule="auto"/>
        <w:ind w:left="720"/>
        <w:jc w:val="both"/>
      </w:pPr>
      <w:r>
        <w:tab/>
        <w:t>(1) - (11) makes no changes to these subdivisions;</w:t>
      </w:r>
    </w:p>
    <w:p w:rsidR="00D42FAC" w:rsidRDefault="00D42FAC" w:rsidP="00D42FAC">
      <w:pPr>
        <w:spacing w:line="240" w:lineRule="auto"/>
        <w:ind w:firstLine="1440"/>
        <w:jc w:val="both"/>
      </w:pPr>
      <w:r>
        <w:t xml:space="preserve">(12) makes a nonsubstantive change to this subdivision; </w:t>
      </w:r>
    </w:p>
    <w:p w:rsidR="00D42FAC" w:rsidRDefault="00D42FAC" w:rsidP="00D42FAC">
      <w:pPr>
        <w:spacing w:line="240" w:lineRule="auto"/>
        <w:ind w:left="1440"/>
        <w:jc w:val="both"/>
      </w:pPr>
      <w:r>
        <w:t>(13) </w:t>
      </w:r>
      <w:r w:rsidRPr="00712619">
        <w:t>performing or delegating to another individual the performance of a pelvic examination on an anesthetized or unconscious patient in violation of Section 167A.002, Health and Safety Code; or</w:t>
      </w:r>
      <w:r>
        <w:t xml:space="preserve"> </w:t>
      </w:r>
    </w:p>
    <w:p w:rsidR="00D42FAC" w:rsidRDefault="00D42FAC" w:rsidP="00D42FAC">
      <w:pPr>
        <w:spacing w:line="240" w:lineRule="auto"/>
        <w:ind w:left="720" w:firstLine="720"/>
        <w:jc w:val="both"/>
      </w:pPr>
      <w:r w:rsidRPr="00712619">
        <w:t>(14)</w:t>
      </w:r>
      <w:r>
        <w:t xml:space="preserve"> creates this subdivision from existing text and makes no further changes. </w:t>
      </w:r>
    </w:p>
    <w:p w:rsidR="00D42FAC" w:rsidRDefault="00D42FAC" w:rsidP="00D42FAC">
      <w:pPr>
        <w:spacing w:line="240" w:lineRule="auto"/>
        <w:jc w:val="both"/>
      </w:pPr>
      <w:r>
        <w:t>SECTION 4. Makes application of this Act prospective.</w:t>
      </w:r>
    </w:p>
    <w:p w:rsidR="00D42FAC" w:rsidRDefault="00D42FAC" w:rsidP="00D42FAC">
      <w:pPr>
        <w:spacing w:line="240" w:lineRule="auto"/>
        <w:jc w:val="both"/>
      </w:pPr>
      <w:r>
        <w:t>SECTION 5. Effective date: September 1, 2021.</w:t>
      </w:r>
    </w:p>
    <w:p w:rsidR="00D42FAC" w:rsidRPr="00C8671F" w:rsidRDefault="00D42FAC" w:rsidP="007126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D42FA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B4" w:rsidRDefault="00E83AB4" w:rsidP="000F1DF9">
      <w:pPr>
        <w:spacing w:after="0" w:line="240" w:lineRule="auto"/>
      </w:pPr>
      <w:r>
        <w:separator/>
      </w:r>
    </w:p>
  </w:endnote>
  <w:endnote w:type="continuationSeparator" w:id="0">
    <w:p w:rsidR="00E83AB4" w:rsidRDefault="00E83AB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83AB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42FAC">
                <w:rPr>
                  <w:sz w:val="20"/>
                  <w:szCs w:val="20"/>
                </w:rPr>
                <w:t>MMN, 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42FAC">
                <w:rPr>
                  <w:sz w:val="20"/>
                  <w:szCs w:val="20"/>
                </w:rPr>
                <w:t>H.B. 1434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42FA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83AB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42FA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42FAC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B4" w:rsidRDefault="00E83AB4" w:rsidP="000F1DF9">
      <w:pPr>
        <w:spacing w:after="0" w:line="240" w:lineRule="auto"/>
      </w:pPr>
      <w:r>
        <w:separator/>
      </w:r>
    </w:p>
  </w:footnote>
  <w:footnote w:type="continuationSeparator" w:id="0">
    <w:p w:rsidR="00E83AB4" w:rsidRDefault="00E83AB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2FAC"/>
    <w:rsid w:val="00D70925"/>
    <w:rsid w:val="00DB48D8"/>
    <w:rsid w:val="00E036F8"/>
    <w:rsid w:val="00E10F50"/>
    <w:rsid w:val="00E23091"/>
    <w:rsid w:val="00E32B14"/>
    <w:rsid w:val="00E46194"/>
    <w:rsid w:val="00E83AB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6D21"/>
  <w15:docId w15:val="{7536E16F-4DFC-44F3-A826-5D45D63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FA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2431E9D727240699E08DED4EB7B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DEBB-5D3A-4F73-BC87-40B441EDACD9}"/>
      </w:docPartPr>
      <w:docPartBody>
        <w:p w:rsidR="00000000" w:rsidRDefault="00CF79D9"/>
      </w:docPartBody>
    </w:docPart>
    <w:docPart>
      <w:docPartPr>
        <w:name w:val="F2902CFB05D6494A9D90EAEE649F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FBAD-79E7-4E87-B654-222D1F78F7D7}"/>
      </w:docPartPr>
      <w:docPartBody>
        <w:p w:rsidR="00000000" w:rsidRDefault="00CF79D9"/>
      </w:docPartBody>
    </w:docPart>
    <w:docPart>
      <w:docPartPr>
        <w:name w:val="734D1237BC184796A9D2191E0DE2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11D4-3E49-44C6-B07F-DC5B0B228AF4}"/>
      </w:docPartPr>
      <w:docPartBody>
        <w:p w:rsidR="00000000" w:rsidRDefault="00CF79D9"/>
      </w:docPartBody>
    </w:docPart>
    <w:docPart>
      <w:docPartPr>
        <w:name w:val="30B305D818E246F4B6994BA4646E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BD93-6B51-49BD-82F8-DE532A8FCC7B}"/>
      </w:docPartPr>
      <w:docPartBody>
        <w:p w:rsidR="00000000" w:rsidRDefault="00CF79D9"/>
      </w:docPartBody>
    </w:docPart>
    <w:docPart>
      <w:docPartPr>
        <w:name w:val="365AE32CD72A43E287C9A95FF9FF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F132-5BD8-4A2A-86C7-5E9F7AE1766F}"/>
      </w:docPartPr>
      <w:docPartBody>
        <w:p w:rsidR="00000000" w:rsidRDefault="00CF79D9"/>
      </w:docPartBody>
    </w:docPart>
    <w:docPart>
      <w:docPartPr>
        <w:name w:val="D21D3FB7429144258DFEFF9A11DA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D553-5475-4C46-9B80-B3DFBB499224}"/>
      </w:docPartPr>
      <w:docPartBody>
        <w:p w:rsidR="00000000" w:rsidRDefault="00CF79D9"/>
      </w:docPartBody>
    </w:docPart>
    <w:docPart>
      <w:docPartPr>
        <w:name w:val="DA52811147E946C5BFE922E1B77D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02C0-2DFE-480E-B230-6333E68693F0}"/>
      </w:docPartPr>
      <w:docPartBody>
        <w:p w:rsidR="00000000" w:rsidRDefault="00CF79D9"/>
      </w:docPartBody>
    </w:docPart>
    <w:docPart>
      <w:docPartPr>
        <w:name w:val="9027BA9C2DA9439B9C8B9634F560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1FBE-6ECD-4E5C-A39D-8B3329F72A73}"/>
      </w:docPartPr>
      <w:docPartBody>
        <w:p w:rsidR="00000000" w:rsidRDefault="00CF79D9"/>
      </w:docPartBody>
    </w:docPart>
    <w:docPart>
      <w:docPartPr>
        <w:name w:val="82794AD0CDF54F1AB2C55D2691A5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4A32-B6BD-44F2-9F3B-386C74B76965}"/>
      </w:docPartPr>
      <w:docPartBody>
        <w:p w:rsidR="00000000" w:rsidRDefault="00CF79D9"/>
      </w:docPartBody>
    </w:docPart>
    <w:docPart>
      <w:docPartPr>
        <w:name w:val="832CF85010204F67B469A57B8E25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4B74-BD7E-4CA7-93C0-A9A7FEBF1824}"/>
      </w:docPartPr>
      <w:docPartBody>
        <w:p w:rsidR="00000000" w:rsidRDefault="00904D54" w:rsidP="00904D54">
          <w:pPr>
            <w:pStyle w:val="832CF85010204F67B469A57B8E25949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A5B845B70B74F21B72C6CA0D27E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FAB3-D468-4CAE-A9B9-5C6808EDB636}"/>
      </w:docPartPr>
      <w:docPartBody>
        <w:p w:rsidR="00000000" w:rsidRDefault="00CF79D9"/>
      </w:docPartBody>
    </w:docPart>
    <w:docPart>
      <w:docPartPr>
        <w:name w:val="8DAD0D6BC314427F9A5FD2B3B455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2FFE-9AD3-4DDC-A9BC-701DDBAEA530}"/>
      </w:docPartPr>
      <w:docPartBody>
        <w:p w:rsidR="00000000" w:rsidRDefault="00CF79D9"/>
      </w:docPartBody>
    </w:docPart>
    <w:docPart>
      <w:docPartPr>
        <w:name w:val="2B70125B28EE4111B3A62A2998E1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E1E9-862F-4404-893E-6A75C17DDEA0}"/>
      </w:docPartPr>
      <w:docPartBody>
        <w:p w:rsidR="00000000" w:rsidRDefault="00904D54" w:rsidP="00904D54">
          <w:pPr>
            <w:pStyle w:val="2B70125B28EE4111B3A62A2998E1A44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2CF1B68F9AC402A87503EE1C89A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03D7-31B4-44B5-A867-F6A7E7332679}"/>
      </w:docPartPr>
      <w:docPartBody>
        <w:p w:rsidR="00000000" w:rsidRDefault="00CF79D9"/>
      </w:docPartBody>
    </w:docPart>
    <w:docPart>
      <w:docPartPr>
        <w:name w:val="58CB9F5F13A4402398E1E1AEFDCA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500C-D0B9-4762-BECE-30DB689FA4D9}"/>
      </w:docPartPr>
      <w:docPartBody>
        <w:p w:rsidR="00000000" w:rsidRDefault="00CF79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4D54"/>
    <w:rsid w:val="0090598B"/>
    <w:rsid w:val="00984D6C"/>
    <w:rsid w:val="00A54AD6"/>
    <w:rsid w:val="00A57564"/>
    <w:rsid w:val="00B252A4"/>
    <w:rsid w:val="00B5530B"/>
    <w:rsid w:val="00C129E8"/>
    <w:rsid w:val="00C968BA"/>
    <w:rsid w:val="00CF79D9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D5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32CF85010204F67B469A57B8E259494">
    <w:name w:val="832CF85010204F67B469A57B8E259494"/>
    <w:rsid w:val="00904D54"/>
    <w:pPr>
      <w:spacing w:after="160" w:line="259" w:lineRule="auto"/>
    </w:pPr>
  </w:style>
  <w:style w:type="paragraph" w:customStyle="1" w:styleId="2B70125B28EE4111B3A62A2998E1A448">
    <w:name w:val="2B70125B28EE4111B3A62A2998E1A448"/>
    <w:rsid w:val="00904D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B500700-5771-41DB-BFA2-B2A0869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832</Words>
  <Characters>4745</Characters>
  <Application>Microsoft Office Word</Application>
  <DocSecurity>0</DocSecurity>
  <Lines>39</Lines>
  <Paragraphs>11</Paragraphs>
  <ScaleCrop>false</ScaleCrop>
  <Company>Texas Legislative Council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dcterms:created xsi:type="dcterms:W3CDTF">2015-05-29T14:24:00Z</dcterms:created>
  <dcterms:modified xsi:type="dcterms:W3CDTF">2021-05-10T13:38:00Z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