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7DC4" w14:paraId="4EBE23F9" w14:textId="77777777" w:rsidTr="00345119">
        <w:tc>
          <w:tcPr>
            <w:tcW w:w="9576" w:type="dxa"/>
            <w:noWrap/>
          </w:tcPr>
          <w:p w14:paraId="0D674B3D" w14:textId="77777777" w:rsidR="008423E4" w:rsidRPr="0022177D" w:rsidRDefault="00F166D2" w:rsidP="004761D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76E5DD" w14:textId="77777777" w:rsidR="008423E4" w:rsidRPr="0022177D" w:rsidRDefault="008423E4" w:rsidP="004761D8">
      <w:pPr>
        <w:jc w:val="center"/>
      </w:pPr>
    </w:p>
    <w:p w14:paraId="3F5D4A65" w14:textId="77777777" w:rsidR="008423E4" w:rsidRPr="00B31F0E" w:rsidRDefault="008423E4" w:rsidP="004761D8"/>
    <w:p w14:paraId="78FBC8F3" w14:textId="77777777" w:rsidR="008423E4" w:rsidRPr="00742794" w:rsidRDefault="008423E4" w:rsidP="004761D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7DC4" w14:paraId="67218D4B" w14:textId="77777777" w:rsidTr="00345119">
        <w:tc>
          <w:tcPr>
            <w:tcW w:w="9576" w:type="dxa"/>
          </w:tcPr>
          <w:p w14:paraId="6E58FE52" w14:textId="2C506C76" w:rsidR="008423E4" w:rsidRPr="00861995" w:rsidRDefault="00F166D2" w:rsidP="004761D8">
            <w:pPr>
              <w:jc w:val="right"/>
            </w:pPr>
            <w:r>
              <w:t>H.B. 1514</w:t>
            </w:r>
          </w:p>
        </w:tc>
      </w:tr>
      <w:tr w:rsidR="00047DC4" w14:paraId="791B1D1B" w14:textId="77777777" w:rsidTr="00345119">
        <w:tc>
          <w:tcPr>
            <w:tcW w:w="9576" w:type="dxa"/>
          </w:tcPr>
          <w:p w14:paraId="0D3659AE" w14:textId="4F16EDCC" w:rsidR="008423E4" w:rsidRPr="00861995" w:rsidRDefault="00F166D2" w:rsidP="004761D8">
            <w:pPr>
              <w:jc w:val="right"/>
            </w:pPr>
            <w:r>
              <w:t xml:space="preserve">By: </w:t>
            </w:r>
            <w:r w:rsidR="00484DF6">
              <w:t>Landgraf</w:t>
            </w:r>
          </w:p>
        </w:tc>
      </w:tr>
      <w:tr w:rsidR="00047DC4" w14:paraId="3718160F" w14:textId="77777777" w:rsidTr="00345119">
        <w:tc>
          <w:tcPr>
            <w:tcW w:w="9576" w:type="dxa"/>
          </w:tcPr>
          <w:p w14:paraId="20389E28" w14:textId="43DDB539" w:rsidR="008423E4" w:rsidRPr="00861995" w:rsidRDefault="00F166D2" w:rsidP="004761D8">
            <w:pPr>
              <w:jc w:val="right"/>
            </w:pPr>
            <w:r>
              <w:t>Business &amp; Industry</w:t>
            </w:r>
          </w:p>
        </w:tc>
      </w:tr>
      <w:tr w:rsidR="00047DC4" w14:paraId="21D01F4A" w14:textId="77777777" w:rsidTr="00345119">
        <w:tc>
          <w:tcPr>
            <w:tcW w:w="9576" w:type="dxa"/>
          </w:tcPr>
          <w:p w14:paraId="321319C3" w14:textId="3F1C6B59" w:rsidR="008423E4" w:rsidRDefault="00F166D2" w:rsidP="004761D8">
            <w:pPr>
              <w:jc w:val="right"/>
            </w:pPr>
            <w:r>
              <w:t>Committee Report (Unamended)</w:t>
            </w:r>
          </w:p>
        </w:tc>
      </w:tr>
    </w:tbl>
    <w:p w14:paraId="484D1E5E" w14:textId="77777777" w:rsidR="008423E4" w:rsidRDefault="008423E4" w:rsidP="004761D8">
      <w:pPr>
        <w:tabs>
          <w:tab w:val="right" w:pos="9360"/>
        </w:tabs>
      </w:pPr>
    </w:p>
    <w:p w14:paraId="5192D6BC" w14:textId="77777777" w:rsidR="008423E4" w:rsidRDefault="008423E4" w:rsidP="004761D8"/>
    <w:p w14:paraId="0944DB4B" w14:textId="77777777" w:rsidR="008423E4" w:rsidRDefault="008423E4" w:rsidP="004761D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7DC4" w14:paraId="0848167F" w14:textId="77777777" w:rsidTr="00345119">
        <w:tc>
          <w:tcPr>
            <w:tcW w:w="9576" w:type="dxa"/>
          </w:tcPr>
          <w:p w14:paraId="319D7C6D" w14:textId="77777777" w:rsidR="008423E4" w:rsidRPr="00A8133F" w:rsidRDefault="00F166D2" w:rsidP="004761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1BB3393" w14:textId="77777777" w:rsidR="008423E4" w:rsidRDefault="008423E4" w:rsidP="004761D8"/>
          <w:p w14:paraId="05B636F1" w14:textId="42A205E8" w:rsidR="008423E4" w:rsidRDefault="00F166D2" w:rsidP="004761D8">
            <w:pPr>
              <w:pStyle w:val="Header"/>
              <w:jc w:val="both"/>
            </w:pPr>
            <w:r>
              <w:t>It has been suggested that state law governing the administrati</w:t>
            </w:r>
            <w:r w:rsidR="00FE591F">
              <w:t>on</w:t>
            </w:r>
            <w:r>
              <w:t xml:space="preserve"> of the state's</w:t>
            </w:r>
            <w:r w:rsidR="00C453C3">
              <w:t xml:space="preserve"> unclaimed property </w:t>
            </w:r>
            <w:r>
              <w:t xml:space="preserve">program is overly ambiguous and </w:t>
            </w:r>
            <w:r>
              <w:t>does not adequately delineate</w:t>
            </w:r>
            <w:r w:rsidR="003572C0">
              <w:t xml:space="preserve"> the</w:t>
            </w:r>
            <w:r w:rsidR="00C453C3">
              <w:t xml:space="preserve"> authority </w:t>
            </w:r>
            <w:r>
              <w:t xml:space="preserve">of the various actors </w:t>
            </w:r>
            <w:r w:rsidR="00C453C3">
              <w:t xml:space="preserve">and processes </w:t>
            </w:r>
            <w:r>
              <w:t>involved</w:t>
            </w:r>
            <w:r w:rsidR="00C453C3">
              <w:t xml:space="preserve">. </w:t>
            </w:r>
            <w:r w:rsidR="003572C0">
              <w:t xml:space="preserve">H.B. 1514 was introduced at the </w:t>
            </w:r>
            <w:r w:rsidR="0017241C">
              <w:t>request</w:t>
            </w:r>
            <w:r w:rsidR="003572C0">
              <w:t xml:space="preserve"> of the office of the comptroller of public accounts</w:t>
            </w:r>
            <w:r w:rsidR="00D906CB">
              <w:t>, the agency administering the program, to act on certain recommendations by th</w:t>
            </w:r>
            <w:r w:rsidR="00FE591F">
              <w:t>at</w:t>
            </w:r>
            <w:r w:rsidR="00D906CB">
              <w:t xml:space="preserve"> office to revise and update program processes and provide greater clarity </w:t>
            </w:r>
            <w:r w:rsidR="00FE591F">
              <w:t xml:space="preserve">and consistency </w:t>
            </w:r>
            <w:r w:rsidR="00D906CB">
              <w:t>with respect to the administration of the program.</w:t>
            </w:r>
          </w:p>
          <w:p w14:paraId="3A66794B" w14:textId="77777777" w:rsidR="008423E4" w:rsidRPr="00E26B13" w:rsidRDefault="008423E4" w:rsidP="004761D8">
            <w:pPr>
              <w:rPr>
                <w:b/>
              </w:rPr>
            </w:pPr>
          </w:p>
        </w:tc>
      </w:tr>
      <w:tr w:rsidR="00047DC4" w14:paraId="41E0883E" w14:textId="77777777" w:rsidTr="00345119">
        <w:tc>
          <w:tcPr>
            <w:tcW w:w="9576" w:type="dxa"/>
          </w:tcPr>
          <w:p w14:paraId="5093ABAD" w14:textId="77777777" w:rsidR="0017725B" w:rsidRDefault="00F166D2" w:rsidP="004761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2DE5C3" w14:textId="77777777" w:rsidR="0017725B" w:rsidRDefault="0017725B" w:rsidP="004761D8">
            <w:pPr>
              <w:rPr>
                <w:b/>
                <w:u w:val="single"/>
              </w:rPr>
            </w:pPr>
          </w:p>
          <w:p w14:paraId="40C52133" w14:textId="23E9430F" w:rsidR="00385DE4" w:rsidRPr="00385DE4" w:rsidRDefault="00F166D2" w:rsidP="004761D8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14:paraId="45073DF4" w14:textId="77777777" w:rsidR="0017725B" w:rsidRPr="0017725B" w:rsidRDefault="0017725B" w:rsidP="004761D8">
            <w:pPr>
              <w:rPr>
                <w:b/>
                <w:u w:val="single"/>
              </w:rPr>
            </w:pPr>
          </w:p>
        </w:tc>
      </w:tr>
      <w:tr w:rsidR="00047DC4" w14:paraId="53419DFC" w14:textId="77777777" w:rsidTr="00345119">
        <w:tc>
          <w:tcPr>
            <w:tcW w:w="9576" w:type="dxa"/>
          </w:tcPr>
          <w:p w14:paraId="5DD77AC1" w14:textId="77777777" w:rsidR="008423E4" w:rsidRPr="00A8133F" w:rsidRDefault="00F166D2" w:rsidP="004761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8D1BDA" w14:textId="77777777" w:rsidR="008423E4" w:rsidRDefault="008423E4" w:rsidP="004761D8"/>
          <w:p w14:paraId="0D64CA4F" w14:textId="32A47200" w:rsidR="00385DE4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14:paraId="16A501C5" w14:textId="77777777" w:rsidR="008423E4" w:rsidRPr="00E21FDC" w:rsidRDefault="008423E4" w:rsidP="004761D8">
            <w:pPr>
              <w:rPr>
                <w:b/>
              </w:rPr>
            </w:pPr>
          </w:p>
        </w:tc>
      </w:tr>
      <w:tr w:rsidR="00047DC4" w14:paraId="3D7733D2" w14:textId="77777777" w:rsidTr="00345119">
        <w:tc>
          <w:tcPr>
            <w:tcW w:w="9576" w:type="dxa"/>
          </w:tcPr>
          <w:p w14:paraId="1756A7F6" w14:textId="77777777" w:rsidR="008423E4" w:rsidRPr="00A8133F" w:rsidRDefault="00F166D2" w:rsidP="004761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7652EB" w14:textId="77777777" w:rsidR="008423E4" w:rsidRDefault="008423E4" w:rsidP="004761D8"/>
          <w:p w14:paraId="436F3EA6" w14:textId="38981E67" w:rsidR="00AC3817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1514 amends the Property Code to </w:t>
            </w:r>
            <w:r w:rsidR="00E04C02">
              <w:t>revise</w:t>
            </w:r>
            <w:r>
              <w:t xml:space="preserve"> statutory provisions governing the report</w:t>
            </w:r>
            <w:r w:rsidR="006B6220">
              <w:t>ing</w:t>
            </w:r>
            <w:r>
              <w:t>, delivery, and claims process</w:t>
            </w:r>
            <w:r w:rsidR="006B6220">
              <w:t>es</w:t>
            </w:r>
            <w:r>
              <w:t xml:space="preserve"> for </w:t>
            </w:r>
            <w:r w:rsidR="005718A8">
              <w:t xml:space="preserve">certain </w:t>
            </w:r>
            <w:r>
              <w:t xml:space="preserve">unclaimed property to </w:t>
            </w:r>
            <w:r w:rsidR="00E04C02">
              <w:t xml:space="preserve">do </w:t>
            </w:r>
            <w:r>
              <w:t>the following:</w:t>
            </w:r>
          </w:p>
          <w:p w14:paraId="1DC35041" w14:textId="77777777" w:rsidR="00E04C02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extend the applicability of those provisions to:</w:t>
            </w:r>
          </w:p>
          <w:p w14:paraId="68EAA14E" w14:textId="5D5F3EB3" w:rsidR="00AC3817" w:rsidRDefault="00F166D2" w:rsidP="004761D8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property </w:t>
            </w:r>
            <w:r w:rsidR="005356A5">
              <w:t xml:space="preserve">associated with a prepaid funeral benefits contract </w:t>
            </w:r>
            <w:r>
              <w:t>that is presumed abandoned;</w:t>
            </w:r>
          </w:p>
          <w:p w14:paraId="0C3B296C" w14:textId="4CD10287" w:rsidR="0044044B" w:rsidRDefault="00F166D2" w:rsidP="004761D8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unclaimed life insurance policy, annuity contract, or retained as</w:t>
            </w:r>
            <w:r>
              <w:t>set account proceeds; and</w:t>
            </w:r>
          </w:p>
          <w:p w14:paraId="54B0BFEB" w14:textId="4A76D7B0" w:rsidR="0044044B" w:rsidRDefault="00F166D2" w:rsidP="004761D8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BD05C2">
              <w:t>any other law requiring a person to report and deliver property to the comptroller</w:t>
            </w:r>
            <w:r w:rsidR="00FF2909">
              <w:t xml:space="preserve"> of public accounts</w:t>
            </w:r>
            <w:r w:rsidR="00E4347A">
              <w:t xml:space="preserve"> for purposes of the applicable claims process</w:t>
            </w:r>
            <w:r w:rsidR="00E04C02" w:rsidRPr="00BD05C2">
              <w:t>;</w:t>
            </w:r>
          </w:p>
          <w:p w14:paraId="1BBF703E" w14:textId="77777777" w:rsidR="00E04C02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change the deadline for an individual who on March 1 holds property to which thos</w:t>
            </w:r>
            <w:r>
              <w:t>e provisions apply to provide written notice of certain information to the property owner from the following May 1 to the 60th day before the date the property is delivered to the comptroller;</w:t>
            </w:r>
          </w:p>
          <w:p w14:paraId="1A41B425" w14:textId="37B0E2A4" w:rsidR="00001094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give a property holder the option to provide written notice</w:t>
            </w:r>
            <w:r w:rsidR="00635AF3">
              <w:t xml:space="preserve"> to a property owner</w:t>
            </w:r>
            <w:r>
              <w:t xml:space="preserve"> by email as an alternative to physical mail;</w:t>
            </w:r>
          </w:p>
          <w:p w14:paraId="65A8BD11" w14:textId="73B8DFA3" w:rsidR="00001094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the comptroller </w:t>
            </w:r>
            <w:r w:rsidR="00635AF3">
              <w:t xml:space="preserve">at any time </w:t>
            </w:r>
            <w:r>
              <w:t xml:space="preserve">to destroy or otherwise dispose of unclaimed property delivered to the comptroller if after </w:t>
            </w:r>
            <w:r w:rsidR="00AA1563">
              <w:t>investigation</w:t>
            </w:r>
            <w:r>
              <w:t xml:space="preserve"> the comptroller determines that the property is no</w:t>
            </w:r>
            <w:r>
              <w:t>t marketable or has insubstantial commercial value;</w:t>
            </w:r>
          </w:p>
          <w:p w14:paraId="156A15E9" w14:textId="126BAB69" w:rsidR="00001094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authorize the comptroller to sell or otherwise liquidate a security delivered to the comptroller</w:t>
            </w:r>
            <w:r w:rsidR="00230F99">
              <w:t xml:space="preserve"> and use the proceeds to buy, exchange, invest, or reinvest in marketable securities</w:t>
            </w:r>
            <w:r>
              <w:t>;</w:t>
            </w:r>
          </w:p>
          <w:p w14:paraId="21D7523B" w14:textId="77777777" w:rsidR="00307737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prohibit the comptroll</w:t>
            </w:r>
            <w:r>
              <w:t xml:space="preserve">er from selling a </w:t>
            </w:r>
            <w:r w:rsidRPr="00307737">
              <w:t>security listed on an established stock exchange for less than the price prevailing on the exchange at the time of sale</w:t>
            </w:r>
            <w:r w:rsidR="000202AA">
              <w:t xml:space="preserve"> and </w:t>
            </w:r>
            <w:r>
              <w:t>authorize t</w:t>
            </w:r>
            <w:r w:rsidRPr="00307737">
              <w:t xml:space="preserve">he comptroller </w:t>
            </w:r>
            <w:r>
              <w:t>to</w:t>
            </w:r>
            <w:r w:rsidRPr="00307737">
              <w:t xml:space="preserve"> sell a security not listed on an established exchange by any</w:t>
            </w:r>
            <w:r w:rsidR="000202AA">
              <w:t xml:space="preserve"> commercially reasonable method;</w:t>
            </w:r>
          </w:p>
          <w:p w14:paraId="7C608D1F" w14:textId="3D7FE3B5" w:rsidR="001D3FDF" w:rsidRDefault="00F166D2" w:rsidP="004761D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regard</w:t>
            </w:r>
            <w:r w:rsidR="00FD2A4C">
              <w:t>ing</w:t>
            </w:r>
            <w:r>
              <w:t xml:space="preserve"> </w:t>
            </w:r>
            <w:r w:rsidR="00DB5E46">
              <w:t>a claim filed with the comptroller for the recovery of property</w:t>
            </w:r>
            <w:r>
              <w:t>:</w:t>
            </w:r>
            <w:r w:rsidR="00DB5E46">
              <w:t xml:space="preserve"> </w:t>
            </w:r>
          </w:p>
          <w:p w14:paraId="5C7A58F4" w14:textId="0F8AF9F8" w:rsidR="000202AA" w:rsidRDefault="00F166D2" w:rsidP="004761D8">
            <w:pPr>
              <w:pStyle w:val="Header"/>
              <w:numPr>
                <w:ilvl w:val="1"/>
                <w:numId w:val="5"/>
              </w:numPr>
              <w:jc w:val="both"/>
            </w:pPr>
            <w:r>
              <w:t xml:space="preserve">require the claim </w:t>
            </w:r>
            <w:r w:rsidR="00DB5E46">
              <w:t>to identify the specific property in the comptroller's possession that is being claimed and include all necessary documentation the comptroller may require;</w:t>
            </w:r>
          </w:p>
          <w:p w14:paraId="03981082" w14:textId="09B2C078" w:rsidR="00DB5E46" w:rsidRDefault="00F166D2" w:rsidP="004761D8">
            <w:pPr>
              <w:pStyle w:val="Header"/>
              <w:numPr>
                <w:ilvl w:val="1"/>
                <w:numId w:val="5"/>
              </w:numPr>
              <w:jc w:val="both"/>
            </w:pPr>
            <w:r>
              <w:t>revise provisions providing for the manner in which property may be claimed from the comptroller if the reported owner died</w:t>
            </w:r>
            <w:r w:rsidR="008D2509">
              <w:t xml:space="preserve"> testate or</w:t>
            </w:r>
            <w:r>
              <w:t xml:space="preserve"> intestate</w:t>
            </w:r>
            <w:r w:rsidR="008D2509">
              <w:t xml:space="preserve"> or if the reported owner is a corporation that has been dissolved or liquidated</w:t>
            </w:r>
            <w:r>
              <w:t>;</w:t>
            </w:r>
            <w:r w:rsidR="001D3FDF">
              <w:t xml:space="preserve"> and</w:t>
            </w:r>
          </w:p>
          <w:p w14:paraId="254EA677" w14:textId="4EEE31BE" w:rsidR="001D3FDF" w:rsidRDefault="00F166D2" w:rsidP="004761D8">
            <w:pPr>
              <w:pStyle w:val="Header"/>
              <w:numPr>
                <w:ilvl w:val="1"/>
                <w:numId w:val="5"/>
              </w:numPr>
              <w:jc w:val="both"/>
            </w:pPr>
            <w:r>
              <w:t xml:space="preserve">authorize the comptroller to approve the claim of the attorney general or other Title IV-D agency for certain child support arrearages and a claim of a person holding durable power of attorney of a </w:t>
            </w:r>
            <w:r w:rsidR="00E7116C">
              <w:t xml:space="preserve">medically </w:t>
            </w:r>
            <w:r>
              <w:t xml:space="preserve">incapacitated person; </w:t>
            </w:r>
          </w:p>
          <w:p w14:paraId="5CB37955" w14:textId="391C3DBF" w:rsidR="000202AA" w:rsidRDefault="00F166D2" w:rsidP="004761D8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authorize the comptr</w:t>
            </w:r>
            <w:r>
              <w:t xml:space="preserve">oller to waive the requirement of filing a claim and </w:t>
            </w:r>
            <w:r w:rsidR="006908DC">
              <w:t xml:space="preserve">to </w:t>
            </w:r>
            <w:r>
              <w:t xml:space="preserve">pay or deliver property directly to a person who does not file a claim </w:t>
            </w:r>
            <w:r w:rsidR="00FD2A4C">
              <w:t>under the following circumstances</w:t>
            </w:r>
            <w:r>
              <w:t>:</w:t>
            </w:r>
          </w:p>
          <w:p w14:paraId="6C4292E9" w14:textId="77777777" w:rsidR="000202AA" w:rsidRDefault="00F166D2" w:rsidP="004761D8">
            <w:pPr>
              <w:pStyle w:val="Header"/>
              <w:numPr>
                <w:ilvl w:val="1"/>
                <w:numId w:val="5"/>
              </w:numPr>
              <w:jc w:val="both"/>
            </w:pPr>
            <w:r>
              <w:t>the person receiving the property is the reported owner of the property;</w:t>
            </w:r>
          </w:p>
          <w:p w14:paraId="510AD719" w14:textId="77777777" w:rsidR="000202AA" w:rsidRDefault="00F166D2" w:rsidP="004761D8">
            <w:pPr>
              <w:pStyle w:val="Header"/>
              <w:numPr>
                <w:ilvl w:val="1"/>
                <w:numId w:val="5"/>
              </w:numPr>
              <w:jc w:val="both"/>
            </w:pPr>
            <w:r>
              <w:t>the comptroller reaso</w:t>
            </w:r>
            <w:r>
              <w:t>nably believes the person is entitled to receive the property or payment; and</w:t>
            </w:r>
          </w:p>
          <w:p w14:paraId="27EACDFF" w14:textId="77777777" w:rsidR="000202AA" w:rsidRDefault="00F166D2" w:rsidP="004761D8">
            <w:pPr>
              <w:pStyle w:val="Header"/>
              <w:numPr>
                <w:ilvl w:val="1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the property has a value of less than $5,000;</w:t>
            </w:r>
          </w:p>
          <w:p w14:paraId="75ED8966" w14:textId="64B49B29" w:rsidR="000202AA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revise the process for appealing a decision on a claim and extend the deadline for filing an appeal</w:t>
            </w:r>
            <w:r w:rsidR="00230F99">
              <w:t xml:space="preserve">; </w:t>
            </w:r>
          </w:p>
          <w:p w14:paraId="334F3773" w14:textId="1DBF43BA" w:rsidR="00406F02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authorize a person who </w:t>
            </w:r>
            <w:r w:rsidRPr="00406F02">
              <w:t>informs</w:t>
            </w:r>
            <w:r w:rsidRPr="00406F02">
              <w:t xml:space="preserve"> a potential claimant that the claimant may be entitled to claim property</w:t>
            </w:r>
            <w:r>
              <w:t xml:space="preserve"> to receive reasonable attorney's fees necessary to pursue the claim;</w:t>
            </w:r>
          </w:p>
          <w:p w14:paraId="66D26E64" w14:textId="0371FFF4" w:rsidR="00230F99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>establish the circumstances under which a</w:t>
            </w:r>
            <w:r w:rsidRPr="00230F99">
              <w:t>n agreement to assist a claimant in the recovery of property is enforcea</w:t>
            </w:r>
            <w:r w:rsidRPr="00230F99">
              <w:t>ble</w:t>
            </w:r>
            <w:r>
              <w:t>; and</w:t>
            </w:r>
          </w:p>
          <w:p w14:paraId="6D6DF278" w14:textId="0B799F88" w:rsidR="00230F99" w:rsidRDefault="00F166D2" w:rsidP="004761D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clarify that the penalty or interest imposed on delinquent property may be waived either in whole or in part and include good cause among the </w:t>
            </w:r>
            <w:r w:rsidR="00D0025D">
              <w:t xml:space="preserve">permissible </w:t>
            </w:r>
            <w:r>
              <w:t xml:space="preserve">reasons for </w:t>
            </w:r>
            <w:r w:rsidR="00D0025D">
              <w:t>waiving</w:t>
            </w:r>
            <w:r>
              <w:t xml:space="preserve"> the penalty or interest.</w:t>
            </w:r>
          </w:p>
          <w:p w14:paraId="49ECF738" w14:textId="768A114A" w:rsidR="00367693" w:rsidRDefault="00367693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184F95" w14:textId="69147A17" w:rsidR="00367693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1514 exempts tangible or intangible person</w:t>
            </w:r>
            <w:r>
              <w:t xml:space="preserve">al property that is </w:t>
            </w:r>
            <w:r w:rsidR="0086305C">
              <w:t xml:space="preserve">a </w:t>
            </w:r>
            <w:r>
              <w:t>worthless</w:t>
            </w:r>
            <w:r w:rsidR="0086305C">
              <w:t xml:space="preserve"> or</w:t>
            </w:r>
            <w:r>
              <w:t xml:space="preserve"> non-freely transferable security or a firearm from statutory provisions governing the abandonment of personal property. </w:t>
            </w:r>
          </w:p>
          <w:p w14:paraId="29C63267" w14:textId="1D9A6FF6" w:rsidR="00367693" w:rsidRDefault="00367693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4DB98A3" w14:textId="4D357399" w:rsidR="00367693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1514 amends the Estates Code to </w:t>
            </w:r>
            <w:r w:rsidR="00D0025D">
              <w:t xml:space="preserve">change </w:t>
            </w:r>
            <w:r>
              <w:t xml:space="preserve">the manner in which the clerk of a court that orders </w:t>
            </w:r>
            <w:r w:rsidR="00D15D4C">
              <w:t>the payment of</w:t>
            </w:r>
            <w:r>
              <w:t xml:space="preserve"> unclaimed shares of </w:t>
            </w:r>
            <w:r w:rsidR="00D15D4C">
              <w:t xml:space="preserve">an </w:t>
            </w:r>
            <w:r>
              <w:t>estate to the comptroller must provide to the comptroller a certified copy of the court order from personal service of citation to certified mail or email.</w:t>
            </w:r>
          </w:p>
          <w:p w14:paraId="1823183B" w14:textId="77777777" w:rsidR="00367693" w:rsidRDefault="00367693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299D6C" w14:textId="5E748153" w:rsidR="00F80C49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1514 amends the Insurance Code to make conforming changes </w:t>
            </w:r>
            <w:r>
              <w:t>that are applicable to a report of unclaimed life insurance policy, annuity contract, or retained asset account proceeds due on or after September 1, 2021.</w:t>
            </w:r>
          </w:p>
          <w:p w14:paraId="57FD191B" w14:textId="77777777" w:rsidR="00F80C49" w:rsidRDefault="00F80C49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19425D9" w14:textId="743EB9BA" w:rsidR="0044044B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1514 </w:t>
            </w:r>
            <w:r w:rsidR="00385DE4">
              <w:t>repeals the following provisions of the Insurance Code:</w:t>
            </w:r>
          </w:p>
          <w:p w14:paraId="585E9827" w14:textId="77777777" w:rsidR="00385DE4" w:rsidRDefault="00F166D2" w:rsidP="004761D8">
            <w:pPr>
              <w:pStyle w:val="Header"/>
              <w:numPr>
                <w:ilvl w:val="0"/>
                <w:numId w:val="6"/>
              </w:numPr>
              <w:jc w:val="both"/>
            </w:pPr>
            <w:r>
              <w:t>Section 1109.013(d);</w:t>
            </w:r>
          </w:p>
          <w:p w14:paraId="5A7BA0F9" w14:textId="1EDEC1BD" w:rsidR="00385DE4" w:rsidRDefault="00F166D2" w:rsidP="004761D8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Section </w:t>
            </w:r>
            <w:r>
              <w:t>1109.101; and</w:t>
            </w:r>
          </w:p>
          <w:p w14:paraId="7763FA48" w14:textId="28EC6229" w:rsidR="00385DE4" w:rsidRPr="009C36CD" w:rsidRDefault="00F166D2" w:rsidP="004761D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>Subchapters B and D, Chapter 1109.</w:t>
            </w:r>
          </w:p>
          <w:p w14:paraId="3B7CCAA7" w14:textId="77777777" w:rsidR="008423E4" w:rsidRPr="00835628" w:rsidRDefault="008423E4" w:rsidP="004761D8">
            <w:pPr>
              <w:rPr>
                <w:b/>
              </w:rPr>
            </w:pPr>
          </w:p>
        </w:tc>
      </w:tr>
      <w:tr w:rsidR="00047DC4" w14:paraId="21ACC5B2" w14:textId="77777777" w:rsidTr="00345119">
        <w:tc>
          <w:tcPr>
            <w:tcW w:w="9576" w:type="dxa"/>
          </w:tcPr>
          <w:p w14:paraId="210BE040" w14:textId="77777777" w:rsidR="008423E4" w:rsidRPr="00A8133F" w:rsidRDefault="00F166D2" w:rsidP="004761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A6AC5F" w14:textId="77777777" w:rsidR="008423E4" w:rsidRDefault="008423E4" w:rsidP="004761D8"/>
          <w:p w14:paraId="182FB066" w14:textId="4B1DB2F9" w:rsidR="008423E4" w:rsidRPr="003624F2" w:rsidRDefault="00F166D2" w:rsidP="004761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788F0481" w14:textId="77777777" w:rsidR="008423E4" w:rsidRPr="00233FDB" w:rsidRDefault="008423E4" w:rsidP="004761D8">
            <w:pPr>
              <w:rPr>
                <w:b/>
              </w:rPr>
            </w:pPr>
          </w:p>
        </w:tc>
      </w:tr>
    </w:tbl>
    <w:p w14:paraId="7C2908D0" w14:textId="77777777" w:rsidR="008423E4" w:rsidRPr="00BE0E75" w:rsidRDefault="008423E4" w:rsidP="004761D8">
      <w:pPr>
        <w:jc w:val="both"/>
        <w:rPr>
          <w:rFonts w:ascii="Arial" w:hAnsi="Arial"/>
          <w:sz w:val="16"/>
          <w:szCs w:val="16"/>
        </w:rPr>
      </w:pPr>
    </w:p>
    <w:p w14:paraId="4D441AE2" w14:textId="77777777" w:rsidR="004108C3" w:rsidRPr="008423E4" w:rsidRDefault="004108C3" w:rsidP="004761D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073E" w14:textId="77777777" w:rsidR="00000000" w:rsidRDefault="00F166D2">
      <w:r>
        <w:separator/>
      </w:r>
    </w:p>
  </w:endnote>
  <w:endnote w:type="continuationSeparator" w:id="0">
    <w:p w14:paraId="779E92CF" w14:textId="77777777" w:rsidR="00000000" w:rsidRDefault="00F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FEE5" w14:textId="77777777" w:rsidR="00374803" w:rsidRDefault="00374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7DC4" w14:paraId="11C0AB0E" w14:textId="77777777" w:rsidTr="009C1E9A">
      <w:trPr>
        <w:cantSplit/>
      </w:trPr>
      <w:tc>
        <w:tcPr>
          <w:tcW w:w="0" w:type="pct"/>
        </w:tcPr>
        <w:p w14:paraId="078F9E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BE65F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5A73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0BB7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38C8B1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DC4" w14:paraId="44326738" w14:textId="77777777" w:rsidTr="009C1E9A">
      <w:trPr>
        <w:cantSplit/>
      </w:trPr>
      <w:tc>
        <w:tcPr>
          <w:tcW w:w="0" w:type="pct"/>
        </w:tcPr>
        <w:p w14:paraId="276EE65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868E09" w14:textId="429151CF" w:rsidR="00EC379B" w:rsidRPr="009C1E9A" w:rsidRDefault="00F166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16717</w:t>
          </w:r>
        </w:p>
      </w:tc>
      <w:tc>
        <w:tcPr>
          <w:tcW w:w="2453" w:type="pct"/>
        </w:tcPr>
        <w:p w14:paraId="1903DC98" w14:textId="28F791BC" w:rsidR="00EC379B" w:rsidRDefault="00F166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4BAA">
            <w:t>21.83.490</w:t>
          </w:r>
          <w:r>
            <w:fldChar w:fldCharType="end"/>
          </w:r>
        </w:p>
      </w:tc>
    </w:tr>
    <w:tr w:rsidR="00047DC4" w14:paraId="7D379423" w14:textId="77777777" w:rsidTr="009C1E9A">
      <w:trPr>
        <w:cantSplit/>
      </w:trPr>
      <w:tc>
        <w:tcPr>
          <w:tcW w:w="0" w:type="pct"/>
        </w:tcPr>
        <w:p w14:paraId="5CAEAB6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3F37DD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307E8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71A7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7DC4" w14:paraId="44CFD2F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83AF0B5" w14:textId="7B817133" w:rsidR="00EC379B" w:rsidRDefault="00F166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761D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83142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DCC0E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25A8" w14:textId="77777777" w:rsidR="00374803" w:rsidRDefault="0037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3653" w14:textId="77777777" w:rsidR="00000000" w:rsidRDefault="00F166D2">
      <w:r>
        <w:separator/>
      </w:r>
    </w:p>
  </w:footnote>
  <w:footnote w:type="continuationSeparator" w:id="0">
    <w:p w14:paraId="2BD90E4A" w14:textId="77777777" w:rsidR="00000000" w:rsidRDefault="00F1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1527" w14:textId="77777777" w:rsidR="00374803" w:rsidRDefault="00374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A2AF" w14:textId="77777777" w:rsidR="00374803" w:rsidRDefault="00374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A2C4" w14:textId="77777777" w:rsidR="00374803" w:rsidRDefault="0037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4DE"/>
    <w:multiLevelType w:val="hybridMultilevel"/>
    <w:tmpl w:val="516E83C4"/>
    <w:lvl w:ilvl="0" w:tplc="0C72E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2CBB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4CC3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ECBF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54BF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8AC3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D0B3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1E38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9022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91C"/>
    <w:multiLevelType w:val="hybridMultilevel"/>
    <w:tmpl w:val="0716291C"/>
    <w:lvl w:ilvl="0" w:tplc="31668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65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6A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B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EF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63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C8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D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C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3E82"/>
    <w:multiLevelType w:val="hybridMultilevel"/>
    <w:tmpl w:val="87BCBB5C"/>
    <w:lvl w:ilvl="0" w:tplc="508E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060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0A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7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3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C2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C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3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A94"/>
    <w:multiLevelType w:val="hybridMultilevel"/>
    <w:tmpl w:val="20E2DE98"/>
    <w:lvl w:ilvl="0" w:tplc="F88CC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89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A5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E3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E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8D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A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8E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4CD3"/>
    <w:multiLevelType w:val="hybridMultilevel"/>
    <w:tmpl w:val="1AE87C54"/>
    <w:lvl w:ilvl="0" w:tplc="CA083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A226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0EC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BCBA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64EE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9C8F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942C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B292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5C3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136E9"/>
    <w:multiLevelType w:val="hybridMultilevel"/>
    <w:tmpl w:val="86DE962C"/>
    <w:lvl w:ilvl="0" w:tplc="6930C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2E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EA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B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D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A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A2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C0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8"/>
    <w:rsid w:val="00000A70"/>
    <w:rsid w:val="00001094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2AA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DC4"/>
    <w:rsid w:val="00050F10"/>
    <w:rsid w:val="000532BD"/>
    <w:rsid w:val="0005394F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41C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ABF"/>
    <w:rsid w:val="001B053A"/>
    <w:rsid w:val="001B26D8"/>
    <w:rsid w:val="001B3BFA"/>
    <w:rsid w:val="001B75B8"/>
    <w:rsid w:val="001C1230"/>
    <w:rsid w:val="001C30C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FDF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0F99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57E1C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3FD"/>
    <w:rsid w:val="00281883"/>
    <w:rsid w:val="002874E3"/>
    <w:rsid w:val="00287656"/>
    <w:rsid w:val="00291518"/>
    <w:rsid w:val="00292BD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CE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737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2C0"/>
    <w:rsid w:val="00357CA1"/>
    <w:rsid w:val="00361FE9"/>
    <w:rsid w:val="003624F2"/>
    <w:rsid w:val="00363854"/>
    <w:rsid w:val="00364315"/>
    <w:rsid w:val="003643E2"/>
    <w:rsid w:val="00367693"/>
    <w:rsid w:val="00370155"/>
    <w:rsid w:val="003712D5"/>
    <w:rsid w:val="003747DF"/>
    <w:rsid w:val="00374803"/>
    <w:rsid w:val="00377E3D"/>
    <w:rsid w:val="003847E8"/>
    <w:rsid w:val="00385DE4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F02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574"/>
    <w:rsid w:val="004350F3"/>
    <w:rsid w:val="00436980"/>
    <w:rsid w:val="0044044B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1D8"/>
    <w:rsid w:val="00480080"/>
    <w:rsid w:val="004824A7"/>
    <w:rsid w:val="00483AF0"/>
    <w:rsid w:val="00484167"/>
    <w:rsid w:val="00484DF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6CB0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449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AF7"/>
    <w:rsid w:val="005356A5"/>
    <w:rsid w:val="005363BB"/>
    <w:rsid w:val="00541B98"/>
    <w:rsid w:val="00543374"/>
    <w:rsid w:val="00545548"/>
    <w:rsid w:val="00546923"/>
    <w:rsid w:val="00550DAB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8A8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03F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930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AF3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105"/>
    <w:rsid w:val="00684B98"/>
    <w:rsid w:val="00685DC9"/>
    <w:rsid w:val="00687465"/>
    <w:rsid w:val="006907CF"/>
    <w:rsid w:val="006908DC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220"/>
    <w:rsid w:val="006B7A2E"/>
    <w:rsid w:val="006C4709"/>
    <w:rsid w:val="006D3005"/>
    <w:rsid w:val="006D504F"/>
    <w:rsid w:val="006D6F51"/>
    <w:rsid w:val="006E0CAC"/>
    <w:rsid w:val="006E1CFB"/>
    <w:rsid w:val="006E1F94"/>
    <w:rsid w:val="006E26C1"/>
    <w:rsid w:val="006E2FB5"/>
    <w:rsid w:val="006E30A8"/>
    <w:rsid w:val="006E45B0"/>
    <w:rsid w:val="006E5692"/>
    <w:rsid w:val="006F2ED3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3FB"/>
    <w:rsid w:val="00727E7A"/>
    <w:rsid w:val="0073163C"/>
    <w:rsid w:val="00731DE3"/>
    <w:rsid w:val="007339C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80B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23E"/>
    <w:rsid w:val="008423E4"/>
    <w:rsid w:val="00842900"/>
    <w:rsid w:val="00850CF0"/>
    <w:rsid w:val="00851869"/>
    <w:rsid w:val="00851C04"/>
    <w:rsid w:val="008531A1"/>
    <w:rsid w:val="00853A94"/>
    <w:rsid w:val="008547A3"/>
    <w:rsid w:val="008572EC"/>
    <w:rsid w:val="0085797D"/>
    <w:rsid w:val="00860020"/>
    <w:rsid w:val="008618E7"/>
    <w:rsid w:val="00861995"/>
    <w:rsid w:val="0086231A"/>
    <w:rsid w:val="0086305C"/>
    <w:rsid w:val="0086477C"/>
    <w:rsid w:val="00864BAD"/>
    <w:rsid w:val="00866F9D"/>
    <w:rsid w:val="00867033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3763"/>
    <w:rsid w:val="00893CF6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509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84E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118"/>
    <w:rsid w:val="00953499"/>
    <w:rsid w:val="00954A16"/>
    <w:rsid w:val="0095696D"/>
    <w:rsid w:val="00960DF2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F30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1C3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563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817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789"/>
    <w:rsid w:val="00B34BAA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5C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7C18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3C3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3C6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C3A"/>
    <w:rsid w:val="00CB1D6C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025D"/>
    <w:rsid w:val="00D02AE8"/>
    <w:rsid w:val="00D03176"/>
    <w:rsid w:val="00D060A8"/>
    <w:rsid w:val="00D06605"/>
    <w:rsid w:val="00D0720F"/>
    <w:rsid w:val="00D074E2"/>
    <w:rsid w:val="00D11B0B"/>
    <w:rsid w:val="00D12A3E"/>
    <w:rsid w:val="00D15D4C"/>
    <w:rsid w:val="00D21F6A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6CB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864"/>
    <w:rsid w:val="00DA6A5C"/>
    <w:rsid w:val="00DB01F6"/>
    <w:rsid w:val="00DB311F"/>
    <w:rsid w:val="00DB53C6"/>
    <w:rsid w:val="00DB59E3"/>
    <w:rsid w:val="00DB5E46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3B66"/>
    <w:rsid w:val="00E040E9"/>
    <w:rsid w:val="00E04B30"/>
    <w:rsid w:val="00E04C02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47A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16C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58F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2F4"/>
    <w:rsid w:val="00F15223"/>
    <w:rsid w:val="00F164B4"/>
    <w:rsid w:val="00F166D2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C49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A4C"/>
    <w:rsid w:val="00FE19C5"/>
    <w:rsid w:val="00FE4286"/>
    <w:rsid w:val="00FE48C3"/>
    <w:rsid w:val="00FE5909"/>
    <w:rsid w:val="00FE591F"/>
    <w:rsid w:val="00FE652E"/>
    <w:rsid w:val="00FE71FE"/>
    <w:rsid w:val="00FF0A28"/>
    <w:rsid w:val="00FF0B8B"/>
    <w:rsid w:val="00FF0E93"/>
    <w:rsid w:val="00FF13C3"/>
    <w:rsid w:val="00FF2909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92A45-EB01-49B4-9F13-B682A66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71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71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118"/>
    <w:rPr>
      <w:b/>
      <w:bCs/>
    </w:rPr>
  </w:style>
  <w:style w:type="paragraph" w:styleId="Revision">
    <w:name w:val="Revision"/>
    <w:hidden/>
    <w:uiPriority w:val="99"/>
    <w:semiHidden/>
    <w:rsid w:val="004B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4628</Characters>
  <Application>Microsoft Office Word</Application>
  <DocSecurity>4</DocSecurity>
  <Lines>108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HB01514 (Committee Report (Unamended))</vt:lpstr>
    </vt:vector>
  </TitlesOfParts>
  <Company>State of Texas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16717</dc:subject>
  <dc:creator>State of Texas</dc:creator>
  <dc:description>HB 1514 by Landgraf-(H)Business &amp; Industry</dc:description>
  <cp:lastModifiedBy>Emma Bodisch</cp:lastModifiedBy>
  <cp:revision>2</cp:revision>
  <cp:lastPrinted>2003-11-26T17:21:00Z</cp:lastPrinted>
  <dcterms:created xsi:type="dcterms:W3CDTF">2021-03-25T16:14:00Z</dcterms:created>
  <dcterms:modified xsi:type="dcterms:W3CDTF">2021-03-25T16:14:00Z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21.83.490</vt:lpwstr>
  </property>
</Properties>
</file>