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A1DB6" w14:paraId="5A5110A9" w14:textId="77777777" w:rsidTr="00345119">
        <w:tc>
          <w:tcPr>
            <w:tcW w:w="9576" w:type="dxa"/>
            <w:noWrap/>
          </w:tcPr>
          <w:p w14:paraId="3C4FBEA2" w14:textId="77777777" w:rsidR="008423E4" w:rsidRPr="0022177D" w:rsidRDefault="008656F9" w:rsidP="001F24A1">
            <w:pPr>
              <w:pStyle w:val="Heading1"/>
            </w:pPr>
            <w:bookmarkStart w:id="0" w:name="_GoBack"/>
            <w:bookmarkEnd w:id="0"/>
            <w:r w:rsidRPr="00631897">
              <w:t>BILL ANALYSIS</w:t>
            </w:r>
          </w:p>
        </w:tc>
      </w:tr>
    </w:tbl>
    <w:p w14:paraId="72F90BFE" w14:textId="77777777" w:rsidR="008423E4" w:rsidRPr="0022177D" w:rsidRDefault="008423E4" w:rsidP="001F24A1">
      <w:pPr>
        <w:jc w:val="center"/>
      </w:pPr>
    </w:p>
    <w:p w14:paraId="574DFEFE" w14:textId="77777777" w:rsidR="008423E4" w:rsidRPr="00B31F0E" w:rsidRDefault="008423E4" w:rsidP="001F24A1"/>
    <w:p w14:paraId="663C2984" w14:textId="77777777" w:rsidR="008423E4" w:rsidRPr="00742794" w:rsidRDefault="008423E4" w:rsidP="001F24A1">
      <w:pPr>
        <w:tabs>
          <w:tab w:val="right" w:pos="9360"/>
        </w:tabs>
      </w:pPr>
    </w:p>
    <w:tbl>
      <w:tblPr>
        <w:tblW w:w="0" w:type="auto"/>
        <w:tblLayout w:type="fixed"/>
        <w:tblLook w:val="01E0" w:firstRow="1" w:lastRow="1" w:firstColumn="1" w:lastColumn="1" w:noHBand="0" w:noVBand="0"/>
      </w:tblPr>
      <w:tblGrid>
        <w:gridCol w:w="9576"/>
      </w:tblGrid>
      <w:tr w:rsidR="008A1DB6" w14:paraId="190A5645" w14:textId="77777777" w:rsidTr="00345119">
        <w:tc>
          <w:tcPr>
            <w:tcW w:w="9576" w:type="dxa"/>
          </w:tcPr>
          <w:p w14:paraId="2D11A597" w14:textId="77777777" w:rsidR="008423E4" w:rsidRPr="00861995" w:rsidRDefault="008656F9" w:rsidP="001F24A1">
            <w:pPr>
              <w:jc w:val="right"/>
            </w:pPr>
            <w:r>
              <w:t>C.S.H.B. 1520</w:t>
            </w:r>
          </w:p>
        </w:tc>
      </w:tr>
      <w:tr w:rsidR="008A1DB6" w14:paraId="51A938E7" w14:textId="77777777" w:rsidTr="00345119">
        <w:tc>
          <w:tcPr>
            <w:tcW w:w="9576" w:type="dxa"/>
          </w:tcPr>
          <w:p w14:paraId="3C9C4253" w14:textId="77777777" w:rsidR="008423E4" w:rsidRPr="00861995" w:rsidRDefault="008656F9" w:rsidP="001F24A1">
            <w:pPr>
              <w:jc w:val="right"/>
            </w:pPr>
            <w:r>
              <w:t xml:space="preserve">By: </w:t>
            </w:r>
            <w:r w:rsidR="008F6216">
              <w:t>Paddie</w:t>
            </w:r>
          </w:p>
        </w:tc>
      </w:tr>
      <w:tr w:rsidR="008A1DB6" w14:paraId="5ABA3D7C" w14:textId="77777777" w:rsidTr="00345119">
        <w:tc>
          <w:tcPr>
            <w:tcW w:w="9576" w:type="dxa"/>
          </w:tcPr>
          <w:p w14:paraId="63F8CC15" w14:textId="77777777" w:rsidR="008423E4" w:rsidRPr="00861995" w:rsidRDefault="008656F9" w:rsidP="001F24A1">
            <w:pPr>
              <w:jc w:val="right"/>
            </w:pPr>
            <w:r>
              <w:t>Energy Resources</w:t>
            </w:r>
          </w:p>
        </w:tc>
      </w:tr>
      <w:tr w:rsidR="008A1DB6" w14:paraId="5FA38074" w14:textId="77777777" w:rsidTr="00345119">
        <w:tc>
          <w:tcPr>
            <w:tcW w:w="9576" w:type="dxa"/>
          </w:tcPr>
          <w:p w14:paraId="35D5A18D" w14:textId="77777777" w:rsidR="008423E4" w:rsidRDefault="008656F9" w:rsidP="001F24A1">
            <w:pPr>
              <w:jc w:val="right"/>
            </w:pPr>
            <w:r>
              <w:t>Committee Report (Substituted)</w:t>
            </w:r>
          </w:p>
        </w:tc>
      </w:tr>
    </w:tbl>
    <w:p w14:paraId="1E83C101" w14:textId="77777777" w:rsidR="008423E4" w:rsidRDefault="008423E4" w:rsidP="001F24A1">
      <w:pPr>
        <w:tabs>
          <w:tab w:val="right" w:pos="9360"/>
        </w:tabs>
      </w:pPr>
    </w:p>
    <w:p w14:paraId="3F8FF531" w14:textId="77777777" w:rsidR="008423E4" w:rsidRDefault="008423E4" w:rsidP="001F24A1"/>
    <w:p w14:paraId="10BE2AA0" w14:textId="77777777" w:rsidR="008423E4" w:rsidRDefault="008423E4" w:rsidP="001F24A1"/>
    <w:tbl>
      <w:tblPr>
        <w:tblW w:w="0" w:type="auto"/>
        <w:tblCellMar>
          <w:left w:w="115" w:type="dxa"/>
          <w:right w:w="115" w:type="dxa"/>
        </w:tblCellMar>
        <w:tblLook w:val="01E0" w:firstRow="1" w:lastRow="1" w:firstColumn="1" w:lastColumn="1" w:noHBand="0" w:noVBand="0"/>
      </w:tblPr>
      <w:tblGrid>
        <w:gridCol w:w="9360"/>
      </w:tblGrid>
      <w:tr w:rsidR="008A1DB6" w14:paraId="575B4FD8" w14:textId="77777777" w:rsidTr="001F24A1">
        <w:tc>
          <w:tcPr>
            <w:tcW w:w="9360" w:type="dxa"/>
          </w:tcPr>
          <w:p w14:paraId="6A75FD16" w14:textId="77777777" w:rsidR="008423E4" w:rsidRPr="00A8133F" w:rsidRDefault="008656F9" w:rsidP="001F24A1">
            <w:pPr>
              <w:rPr>
                <w:b/>
              </w:rPr>
            </w:pPr>
            <w:r w:rsidRPr="009C1E9A">
              <w:rPr>
                <w:b/>
                <w:u w:val="single"/>
              </w:rPr>
              <w:t>BACKGROUND AND PURPOSE</w:t>
            </w:r>
            <w:r>
              <w:rPr>
                <w:b/>
              </w:rPr>
              <w:t xml:space="preserve"> </w:t>
            </w:r>
          </w:p>
          <w:p w14:paraId="4B7B2157" w14:textId="77777777" w:rsidR="008423E4" w:rsidRDefault="008423E4" w:rsidP="001F24A1"/>
          <w:p w14:paraId="4DBAD31B" w14:textId="347A76AA" w:rsidR="008423E4" w:rsidRDefault="008656F9" w:rsidP="001F24A1">
            <w:pPr>
              <w:pStyle w:val="Header"/>
              <w:tabs>
                <w:tab w:val="clear" w:pos="4320"/>
                <w:tab w:val="clear" w:pos="8640"/>
              </w:tabs>
              <w:jc w:val="both"/>
            </w:pPr>
            <w:r w:rsidRPr="00EB6E81">
              <w:t>The recent winter storm</w:t>
            </w:r>
            <w:r w:rsidR="002C5BF1">
              <w:t xml:space="preserve"> in Texas</w:t>
            </w:r>
            <w:r w:rsidRPr="00EB6E81">
              <w:t xml:space="preserve"> resulted in a historic demand for energy. Due to factors beyond their control, gas utilities incurred extraordinary costs </w:t>
            </w:r>
            <w:r w:rsidR="00DB2D05">
              <w:t>in</w:t>
            </w:r>
            <w:r w:rsidRPr="00EB6E81">
              <w:t xml:space="preserve"> procuring the necessary supply of gas to maintain service to their customers. </w:t>
            </w:r>
            <w:r w:rsidR="00C05BB3">
              <w:t>The cost of g</w:t>
            </w:r>
            <w:r w:rsidRPr="00EB6E81">
              <w:t xml:space="preserve">as </w:t>
            </w:r>
            <w:r w:rsidR="00C05BB3">
              <w:t>is</w:t>
            </w:r>
            <w:r w:rsidRPr="00EB6E81">
              <w:t xml:space="preserve"> not controlled by gas utilit</w:t>
            </w:r>
            <w:r w:rsidR="00DB2D05">
              <w:t>ies but</w:t>
            </w:r>
            <w:r w:rsidR="002C5BF1">
              <w:t xml:space="preserve"> instead </w:t>
            </w:r>
            <w:r w:rsidR="00C05BB3">
              <w:t>is</w:t>
            </w:r>
            <w:r w:rsidRPr="00EB6E81">
              <w:t xml:space="preserve"> set by the market and passed through to the customer without markup. Considering the extraordinary costs incurred</w:t>
            </w:r>
            <w:r w:rsidR="00DB2D05">
              <w:t xml:space="preserve"> in the recent winter storm</w:t>
            </w:r>
            <w:r w:rsidRPr="00EB6E81">
              <w:t>, customers could see a dramatic increase in their monthly bill without the securitization of those co</w:t>
            </w:r>
            <w:r w:rsidRPr="00EB6E81">
              <w:t>sts.</w:t>
            </w:r>
          </w:p>
          <w:p w14:paraId="41B70DAA" w14:textId="77777777" w:rsidR="00DB2D05" w:rsidRDefault="00DB2D05" w:rsidP="001F24A1">
            <w:pPr>
              <w:pStyle w:val="Header"/>
              <w:tabs>
                <w:tab w:val="clear" w:pos="4320"/>
                <w:tab w:val="clear" w:pos="8640"/>
              </w:tabs>
              <w:jc w:val="both"/>
            </w:pPr>
          </w:p>
          <w:p w14:paraId="06637055" w14:textId="6E71238D" w:rsidR="00EB6E81" w:rsidRDefault="008656F9" w:rsidP="001F24A1">
            <w:pPr>
              <w:pStyle w:val="Header"/>
              <w:tabs>
                <w:tab w:val="clear" w:pos="4320"/>
                <w:tab w:val="clear" w:pos="8640"/>
              </w:tabs>
              <w:jc w:val="both"/>
            </w:pPr>
            <w:r>
              <w:t>C.S.H.B. 1520 seeks to</w:t>
            </w:r>
            <w:r w:rsidRPr="00EB6E81">
              <w:t xml:space="preserve"> minimize the cost that customers </w:t>
            </w:r>
            <w:r>
              <w:t>might</w:t>
            </w:r>
            <w:r w:rsidRPr="00EB6E81">
              <w:t xml:space="preserve"> experience </w:t>
            </w:r>
            <w:r w:rsidR="000D67F9">
              <w:t>from</w:t>
            </w:r>
            <w:r w:rsidRPr="00EB6E81">
              <w:t xml:space="preserve"> th</w:t>
            </w:r>
            <w:r>
              <w:t>os</w:t>
            </w:r>
            <w:r w:rsidRPr="00EB6E81">
              <w:t>e</w:t>
            </w:r>
            <w:r>
              <w:t xml:space="preserve"> </w:t>
            </w:r>
            <w:r w:rsidRPr="00EB6E81">
              <w:t>extraordinary costs</w:t>
            </w:r>
            <w:r>
              <w:t>, as well as from</w:t>
            </w:r>
            <w:r w:rsidRPr="00EB6E81">
              <w:t xml:space="preserve"> </w:t>
            </w:r>
            <w:r>
              <w:t xml:space="preserve">future extraordinary costs </w:t>
            </w:r>
            <w:r w:rsidR="00E65253">
              <w:t>from potential</w:t>
            </w:r>
            <w:r w:rsidR="000D67F9">
              <w:t xml:space="preserve"> </w:t>
            </w:r>
            <w:r w:rsidR="000D67F9" w:rsidRPr="000D67F9">
              <w:t xml:space="preserve">catastrophic events </w:t>
            </w:r>
            <w:r w:rsidR="000D67F9">
              <w:t>such as</w:t>
            </w:r>
            <w:r w:rsidRPr="00EB6E81">
              <w:t xml:space="preserve"> natural and man-made disasters</w:t>
            </w:r>
            <w:r w:rsidR="000D67F9">
              <w:t xml:space="preserve"> or</w:t>
            </w:r>
            <w:r w:rsidRPr="00EB6E81">
              <w:t xml:space="preserve"> system failures</w:t>
            </w:r>
            <w:r w:rsidR="0014270C">
              <w:t>,</w:t>
            </w:r>
            <w:r w:rsidRPr="00EB6E81">
              <w:t xml:space="preserve"> by providing securitization financing</w:t>
            </w:r>
            <w:r w:rsidR="0014270C">
              <w:t xml:space="preserve"> to</w:t>
            </w:r>
            <w:r w:rsidRPr="00EB6E81">
              <w:t xml:space="preserve"> enabl</w:t>
            </w:r>
            <w:r w:rsidR="0014270C">
              <w:t>e</w:t>
            </w:r>
            <w:r w:rsidRPr="00EB6E81">
              <w:t xml:space="preserve"> gas utilities to recover </w:t>
            </w:r>
            <w:r w:rsidR="000D67F9">
              <w:t>these</w:t>
            </w:r>
            <w:r w:rsidRPr="00EB6E81">
              <w:t xml:space="preserve"> costs. This financing mechanism will provide rate relief to customers by extending the time frame over which the extraordinary costs are recovered and </w:t>
            </w:r>
            <w:r w:rsidR="000D67F9">
              <w:t xml:space="preserve">will </w:t>
            </w:r>
            <w:r w:rsidRPr="00EB6E81">
              <w:t>support the financia</w:t>
            </w:r>
            <w:r w:rsidRPr="00EB6E81">
              <w:t>l strength and stability of gas utility companies.</w:t>
            </w:r>
          </w:p>
          <w:p w14:paraId="13419E1C" w14:textId="77777777" w:rsidR="008423E4" w:rsidRPr="00E26B13" w:rsidRDefault="008423E4" w:rsidP="001F24A1">
            <w:pPr>
              <w:pStyle w:val="Header"/>
              <w:tabs>
                <w:tab w:val="clear" w:pos="4320"/>
                <w:tab w:val="clear" w:pos="8640"/>
              </w:tabs>
              <w:jc w:val="both"/>
              <w:rPr>
                <w:b/>
              </w:rPr>
            </w:pPr>
          </w:p>
        </w:tc>
      </w:tr>
      <w:tr w:rsidR="008A1DB6" w14:paraId="2FA18872" w14:textId="77777777" w:rsidTr="001F24A1">
        <w:tc>
          <w:tcPr>
            <w:tcW w:w="9360" w:type="dxa"/>
          </w:tcPr>
          <w:p w14:paraId="6512E9BB" w14:textId="77777777" w:rsidR="0017725B" w:rsidRDefault="008656F9" w:rsidP="001F24A1">
            <w:pPr>
              <w:rPr>
                <w:b/>
                <w:u w:val="single"/>
              </w:rPr>
            </w:pPr>
            <w:r>
              <w:rPr>
                <w:b/>
                <w:u w:val="single"/>
              </w:rPr>
              <w:t>CRIMINAL JUSTICE IMPACT</w:t>
            </w:r>
          </w:p>
          <w:p w14:paraId="219DAA17" w14:textId="77777777" w:rsidR="0017725B" w:rsidRDefault="0017725B" w:rsidP="001F24A1">
            <w:pPr>
              <w:rPr>
                <w:b/>
                <w:u w:val="single"/>
              </w:rPr>
            </w:pPr>
          </w:p>
          <w:p w14:paraId="60D51E6D" w14:textId="14812B33" w:rsidR="00A61348" w:rsidRPr="00A61348" w:rsidRDefault="008656F9" w:rsidP="001F24A1">
            <w:pPr>
              <w:jc w:val="both"/>
            </w:pPr>
            <w:r>
              <w:t>It is the committee's opinion that this bill does not expressly create a criminal offense, increase the punishment for an existing criminal offense or category of offenses, or ch</w:t>
            </w:r>
            <w:r>
              <w:t>ange the eligibility of a person for community supervision, parole, or mandatory supervision.</w:t>
            </w:r>
          </w:p>
          <w:p w14:paraId="783BF7E2" w14:textId="77777777" w:rsidR="0017725B" w:rsidRPr="0017725B" w:rsidRDefault="0017725B" w:rsidP="001F24A1">
            <w:pPr>
              <w:rPr>
                <w:b/>
                <w:u w:val="single"/>
              </w:rPr>
            </w:pPr>
          </w:p>
        </w:tc>
      </w:tr>
      <w:tr w:rsidR="008A1DB6" w14:paraId="0EF10B02" w14:textId="77777777" w:rsidTr="001F24A1">
        <w:tc>
          <w:tcPr>
            <w:tcW w:w="9360" w:type="dxa"/>
          </w:tcPr>
          <w:p w14:paraId="62FC5441" w14:textId="77777777" w:rsidR="008423E4" w:rsidRPr="00A8133F" w:rsidRDefault="008656F9" w:rsidP="001F24A1">
            <w:pPr>
              <w:rPr>
                <w:b/>
              </w:rPr>
            </w:pPr>
            <w:r w:rsidRPr="009C1E9A">
              <w:rPr>
                <w:b/>
                <w:u w:val="single"/>
              </w:rPr>
              <w:t>RULEMAKING AUTHORITY</w:t>
            </w:r>
            <w:r>
              <w:rPr>
                <w:b/>
              </w:rPr>
              <w:t xml:space="preserve"> </w:t>
            </w:r>
          </w:p>
          <w:p w14:paraId="05392F76" w14:textId="77777777" w:rsidR="008423E4" w:rsidRDefault="008423E4" w:rsidP="001F24A1"/>
          <w:p w14:paraId="19E944B4" w14:textId="6C417F43" w:rsidR="00A61348" w:rsidRDefault="008656F9" w:rsidP="001F24A1">
            <w:pPr>
              <w:pStyle w:val="Header"/>
              <w:tabs>
                <w:tab w:val="clear" w:pos="4320"/>
                <w:tab w:val="clear" w:pos="8640"/>
              </w:tabs>
              <w:jc w:val="both"/>
            </w:pPr>
            <w:r>
              <w:t xml:space="preserve">It is the committee's opinion that rulemaking authority is expressly granted to the </w:t>
            </w:r>
            <w:r w:rsidRPr="00A61348">
              <w:t>secretary of state</w:t>
            </w:r>
            <w:r>
              <w:t xml:space="preserve"> in </w:t>
            </w:r>
            <w:r w:rsidRPr="00A61348">
              <w:t>SECTION 5</w:t>
            </w:r>
            <w:r>
              <w:t xml:space="preserve"> of this bill.</w:t>
            </w:r>
          </w:p>
          <w:p w14:paraId="5BEC2FC2" w14:textId="77777777" w:rsidR="008423E4" w:rsidRPr="00E21FDC" w:rsidRDefault="008423E4" w:rsidP="001F24A1">
            <w:pPr>
              <w:rPr>
                <w:b/>
              </w:rPr>
            </w:pPr>
          </w:p>
        </w:tc>
      </w:tr>
      <w:tr w:rsidR="008A1DB6" w14:paraId="702751CB" w14:textId="77777777" w:rsidTr="001F24A1">
        <w:tc>
          <w:tcPr>
            <w:tcW w:w="9360" w:type="dxa"/>
          </w:tcPr>
          <w:p w14:paraId="504003EC" w14:textId="77777777" w:rsidR="008423E4" w:rsidRPr="00A8133F" w:rsidRDefault="008656F9" w:rsidP="001F24A1">
            <w:pPr>
              <w:rPr>
                <w:b/>
              </w:rPr>
            </w:pPr>
            <w:r w:rsidRPr="009C1E9A">
              <w:rPr>
                <w:b/>
                <w:u w:val="single"/>
              </w:rPr>
              <w:t>ANALYSIS</w:t>
            </w:r>
            <w:r>
              <w:rPr>
                <w:b/>
              </w:rPr>
              <w:t xml:space="preserve"> </w:t>
            </w:r>
          </w:p>
          <w:p w14:paraId="42E3576A" w14:textId="77777777" w:rsidR="008423E4" w:rsidRDefault="008423E4" w:rsidP="001F24A1"/>
          <w:p w14:paraId="269D5FD1" w14:textId="74DFA340" w:rsidR="00D364C5" w:rsidRDefault="008656F9" w:rsidP="001F24A1">
            <w:pPr>
              <w:pStyle w:val="Header"/>
              <w:tabs>
                <w:tab w:val="clear" w:pos="4320"/>
                <w:tab w:val="clear" w:pos="8640"/>
              </w:tabs>
              <w:jc w:val="both"/>
            </w:pPr>
            <w:r>
              <w:t xml:space="preserve">C.S.H.B. 1520 amends the </w:t>
            </w:r>
            <w:r w:rsidRPr="00355132">
              <w:t>Utilities Code</w:t>
            </w:r>
            <w:r>
              <w:t xml:space="preserve"> to set out provisions relating to </w:t>
            </w:r>
            <w:r w:rsidRPr="00355132">
              <w:t>customer rate relief bonds</w:t>
            </w:r>
            <w:r w:rsidR="005772AE">
              <w:t xml:space="preserve"> under the rates and services provisions of the Gas Utility Regulatory Act</w:t>
            </w:r>
            <w:r>
              <w:t xml:space="preserve">. The bill sets out the purposes of these </w:t>
            </w:r>
            <w:r w:rsidR="005772AE">
              <w:t xml:space="preserve">bond </w:t>
            </w:r>
            <w:r>
              <w:t>provisions, which includ</w:t>
            </w:r>
            <w:r>
              <w:t xml:space="preserve">e the provision of </w:t>
            </w:r>
            <w:r w:rsidRPr="00355132">
              <w:t>securitization financing for gas utilities to recover</w:t>
            </w:r>
            <w:r>
              <w:t xml:space="preserve"> applicable</w:t>
            </w:r>
            <w:r w:rsidRPr="00355132">
              <w:t xml:space="preserve"> extraordinary costs</w:t>
            </w:r>
            <w:r>
              <w:t xml:space="preserve"> incurred from a catastrophic event</w:t>
            </w:r>
            <w:r w:rsidR="006E2373">
              <w:t>, and defines applicable terms</w:t>
            </w:r>
            <w:r>
              <w:t xml:space="preserve">. The bill requires the </w:t>
            </w:r>
            <w:r w:rsidRPr="00D364C5">
              <w:t>Railroad Commission of Texas (RRC)</w:t>
            </w:r>
            <w:r>
              <w:t xml:space="preserve"> to ensure the following:</w:t>
            </w:r>
          </w:p>
          <w:p w14:paraId="7E719463" w14:textId="77777777" w:rsidR="00D364C5" w:rsidRDefault="008656F9" w:rsidP="001F24A1">
            <w:pPr>
              <w:pStyle w:val="Header"/>
              <w:numPr>
                <w:ilvl w:val="0"/>
                <w:numId w:val="1"/>
              </w:numPr>
              <w:jc w:val="both"/>
            </w:pPr>
            <w:r>
              <w:t>that</w:t>
            </w:r>
            <w:r>
              <w:t xml:space="preserve"> securitization provides tangible and quantifiable benefits to customers, greater than would have been achieved absent the issuance of customer rate relief bonds; and</w:t>
            </w:r>
          </w:p>
          <w:p w14:paraId="66569465" w14:textId="77777777" w:rsidR="00D364C5" w:rsidRDefault="008656F9" w:rsidP="001F24A1">
            <w:pPr>
              <w:pStyle w:val="Header"/>
              <w:numPr>
                <w:ilvl w:val="0"/>
                <w:numId w:val="1"/>
              </w:numPr>
              <w:tabs>
                <w:tab w:val="clear" w:pos="4320"/>
                <w:tab w:val="clear" w:pos="8640"/>
              </w:tabs>
              <w:jc w:val="both"/>
            </w:pPr>
            <w:r>
              <w:t>that the structuring and pricing of the customer rate relief bonds result in customer rat</w:t>
            </w:r>
            <w:r>
              <w:t>e relief bond charges consistent with the terms of the applicable financing order and market conditions at the time of the pricing of the customer rate relief bonds.</w:t>
            </w:r>
          </w:p>
          <w:p w14:paraId="2287DF67" w14:textId="77777777" w:rsidR="00D364C5" w:rsidRDefault="00D364C5" w:rsidP="001F24A1">
            <w:pPr>
              <w:pStyle w:val="Header"/>
              <w:tabs>
                <w:tab w:val="clear" w:pos="4320"/>
                <w:tab w:val="clear" w:pos="8640"/>
              </w:tabs>
              <w:jc w:val="both"/>
            </w:pPr>
          </w:p>
          <w:p w14:paraId="51923DCC" w14:textId="1A725F28" w:rsidR="00D364C5" w:rsidRDefault="008656F9" w:rsidP="001F24A1">
            <w:pPr>
              <w:pStyle w:val="Header"/>
              <w:tabs>
                <w:tab w:val="clear" w:pos="4320"/>
                <w:tab w:val="clear" w:pos="8640"/>
              </w:tabs>
              <w:jc w:val="both"/>
            </w:pPr>
            <w:r>
              <w:t>C.S.H.B. 1520 establishes the following</w:t>
            </w:r>
            <w:r w:rsidR="00A526ED">
              <w:t>,</w:t>
            </w:r>
            <w:r>
              <w:t xml:space="preserve"> with respect to </w:t>
            </w:r>
            <w:r w:rsidRPr="00D44BF8">
              <w:t>extraordinary costs</w:t>
            </w:r>
            <w:r w:rsidR="00A526ED">
              <w:t>,</w:t>
            </w:r>
            <w:r>
              <w:t xml:space="preserve"> and sets out </w:t>
            </w:r>
            <w:r w:rsidR="000450C8">
              <w:t xml:space="preserve">additional </w:t>
            </w:r>
            <w:r>
              <w:t>related provisions:</w:t>
            </w:r>
          </w:p>
          <w:p w14:paraId="4E804AFB" w14:textId="3D55241C" w:rsidR="00D44BF8" w:rsidRDefault="008656F9" w:rsidP="001F24A1">
            <w:pPr>
              <w:pStyle w:val="Header"/>
              <w:numPr>
                <w:ilvl w:val="0"/>
                <w:numId w:val="3"/>
              </w:numPr>
              <w:tabs>
                <w:tab w:val="clear" w:pos="4320"/>
                <w:tab w:val="clear" w:pos="8640"/>
              </w:tabs>
              <w:jc w:val="both"/>
            </w:pPr>
            <w:r w:rsidRPr="00D44BF8">
              <w:t xml:space="preserve">extraordinary costs are the reasonable and necessary costs placed in a regulatory asset and approved by the </w:t>
            </w:r>
            <w:r>
              <w:t>RRC</w:t>
            </w:r>
            <w:r w:rsidRPr="00D44BF8">
              <w:t xml:space="preserve"> in a regulatory asset determination under </w:t>
            </w:r>
            <w:r>
              <w:t>the bill's provisions;</w:t>
            </w:r>
          </w:p>
          <w:p w14:paraId="7E488C92" w14:textId="6723EB2D" w:rsidR="00D44BF8" w:rsidRDefault="008656F9" w:rsidP="001F24A1">
            <w:pPr>
              <w:pStyle w:val="Header"/>
              <w:numPr>
                <w:ilvl w:val="0"/>
                <w:numId w:val="3"/>
              </w:numPr>
              <w:tabs>
                <w:tab w:val="clear" w:pos="4320"/>
                <w:tab w:val="clear" w:pos="8640"/>
              </w:tabs>
              <w:jc w:val="both"/>
            </w:pPr>
            <w:r>
              <w:t>e</w:t>
            </w:r>
            <w:r w:rsidRPr="00D44BF8">
              <w:t>xtraordinary costs include any co</w:t>
            </w:r>
            <w:r w:rsidRPr="00D44BF8">
              <w:t>sts of acquiring, retiring, and refunding a gas utility's existing debt and equity securities or credit facilities in connection with the issuanc</w:t>
            </w:r>
            <w:r>
              <w:t>e of customer rate relief bonds;</w:t>
            </w:r>
          </w:p>
          <w:p w14:paraId="23F391D0" w14:textId="05A83D2E" w:rsidR="00D44BF8" w:rsidRDefault="008656F9" w:rsidP="001F24A1">
            <w:pPr>
              <w:pStyle w:val="Header"/>
              <w:numPr>
                <w:ilvl w:val="0"/>
                <w:numId w:val="3"/>
              </w:numPr>
              <w:jc w:val="both"/>
            </w:pPr>
            <w:r>
              <w:t>extraordinary costs may include costs incurred to serve customers, including c</w:t>
            </w:r>
            <w:r>
              <w:t>apital costs and other costs expensed, charged to self-insurance reserves, deferred, capitalized, or otherwise financed, that are incurred by a gas utility or on behalf of the gas utility for gas procurement, supply and system restoration and infrastructur</w:t>
            </w:r>
            <w:r>
              <w:t>e, operations and administration in response to</w:t>
            </w:r>
            <w:r w:rsidR="007C1BEA">
              <w:t xml:space="preserve"> the following</w:t>
            </w:r>
            <w:r>
              <w:t>:</w:t>
            </w:r>
          </w:p>
          <w:p w14:paraId="522D8B37" w14:textId="0FA16BCD" w:rsidR="00D44BF8" w:rsidRDefault="008656F9" w:rsidP="001F24A1">
            <w:pPr>
              <w:pStyle w:val="Header"/>
              <w:numPr>
                <w:ilvl w:val="1"/>
                <w:numId w:val="3"/>
              </w:numPr>
              <w:jc w:val="both"/>
            </w:pPr>
            <w:r>
              <w:t>a tropical storm or hurricane, ice or snow storm, flood, or other weather-related event;</w:t>
            </w:r>
          </w:p>
          <w:p w14:paraId="38428EBA" w14:textId="32AEB69D" w:rsidR="00D44BF8" w:rsidRDefault="008656F9" w:rsidP="001F24A1">
            <w:pPr>
              <w:pStyle w:val="Header"/>
              <w:numPr>
                <w:ilvl w:val="1"/>
                <w:numId w:val="3"/>
              </w:numPr>
              <w:jc w:val="both"/>
            </w:pPr>
            <w:r>
              <w:t>a natural or man-made disaster;</w:t>
            </w:r>
          </w:p>
          <w:p w14:paraId="6C6A55ED" w14:textId="73A08132" w:rsidR="00D44BF8" w:rsidRDefault="008656F9" w:rsidP="001F24A1">
            <w:pPr>
              <w:pStyle w:val="Header"/>
              <w:numPr>
                <w:ilvl w:val="1"/>
                <w:numId w:val="3"/>
              </w:numPr>
              <w:jc w:val="both"/>
            </w:pPr>
            <w:r>
              <w:t>a system failure; or</w:t>
            </w:r>
          </w:p>
          <w:p w14:paraId="5243AF34" w14:textId="469F03C1" w:rsidR="00D44BF8" w:rsidRDefault="008656F9" w:rsidP="001F24A1">
            <w:pPr>
              <w:pStyle w:val="Header"/>
              <w:numPr>
                <w:ilvl w:val="1"/>
                <w:numId w:val="3"/>
              </w:numPr>
              <w:tabs>
                <w:tab w:val="clear" w:pos="4320"/>
                <w:tab w:val="clear" w:pos="8640"/>
              </w:tabs>
              <w:jc w:val="both"/>
            </w:pPr>
            <w:r>
              <w:t>another catastrophic event;</w:t>
            </w:r>
            <w:r w:rsidR="00664AFB">
              <w:t xml:space="preserve"> and</w:t>
            </w:r>
          </w:p>
          <w:p w14:paraId="60FD476E" w14:textId="3554481E" w:rsidR="00D44BF8" w:rsidRDefault="008656F9" w:rsidP="001F24A1">
            <w:pPr>
              <w:pStyle w:val="Header"/>
              <w:numPr>
                <w:ilvl w:val="0"/>
                <w:numId w:val="3"/>
              </w:numPr>
              <w:jc w:val="both"/>
            </w:pPr>
            <w:r>
              <w:t>extraordinary costs</w:t>
            </w:r>
            <w:r>
              <w:t xml:space="preserve"> may include the following:</w:t>
            </w:r>
          </w:p>
          <w:p w14:paraId="6FAA32DB" w14:textId="002A5D70" w:rsidR="00D44BF8" w:rsidRDefault="008656F9" w:rsidP="001F24A1">
            <w:pPr>
              <w:pStyle w:val="Header"/>
              <w:numPr>
                <w:ilvl w:val="1"/>
                <w:numId w:val="3"/>
              </w:numPr>
              <w:jc w:val="both"/>
            </w:pPr>
            <w:r>
              <w:t>natural gas procurement costs above normalized market pricing, mobilization, staging, construction, reconstruction, replacement, or repair of system facilities; and</w:t>
            </w:r>
          </w:p>
          <w:p w14:paraId="4735F6B9" w14:textId="038ED13C" w:rsidR="00D44BF8" w:rsidRDefault="008656F9" w:rsidP="001F24A1">
            <w:pPr>
              <w:pStyle w:val="Header"/>
              <w:numPr>
                <w:ilvl w:val="1"/>
                <w:numId w:val="3"/>
              </w:numPr>
              <w:tabs>
                <w:tab w:val="clear" w:pos="4320"/>
                <w:tab w:val="clear" w:pos="8640"/>
              </w:tabs>
              <w:jc w:val="both"/>
            </w:pPr>
            <w:r>
              <w:t>reasonable estimates of the costs of natural gas procurement ab</w:t>
            </w:r>
            <w:r>
              <w:t>ove normalized market pricing and any activity conducted or expected to be conducted by or on behalf of the gas utility in connection with the restoration of service or infrastructure associated with natural gas outages.</w:t>
            </w:r>
          </w:p>
          <w:p w14:paraId="18FD93A3" w14:textId="5E217236" w:rsidR="00664AFB" w:rsidRDefault="00664AFB" w:rsidP="001F24A1">
            <w:pPr>
              <w:pStyle w:val="Header"/>
              <w:tabs>
                <w:tab w:val="clear" w:pos="4320"/>
                <w:tab w:val="clear" w:pos="8640"/>
              </w:tabs>
              <w:jc w:val="both"/>
            </w:pPr>
          </w:p>
          <w:p w14:paraId="442761AD" w14:textId="2EC15CF4" w:rsidR="00664AFB" w:rsidRDefault="008656F9" w:rsidP="001F24A1">
            <w:pPr>
              <w:pStyle w:val="Header"/>
              <w:tabs>
                <w:tab w:val="clear" w:pos="4320"/>
                <w:tab w:val="clear" w:pos="8640"/>
              </w:tabs>
              <w:jc w:val="both"/>
            </w:pPr>
            <w:r>
              <w:t>C.S.H.B. 1520 provides the followi</w:t>
            </w:r>
            <w:r>
              <w:t>ng with respect to the RRC:</w:t>
            </w:r>
          </w:p>
          <w:p w14:paraId="592B3492" w14:textId="5D38ADD7" w:rsidR="00664AFB" w:rsidRDefault="008656F9" w:rsidP="001F24A1">
            <w:pPr>
              <w:pStyle w:val="Header"/>
              <w:numPr>
                <w:ilvl w:val="0"/>
                <w:numId w:val="6"/>
              </w:numPr>
              <w:tabs>
                <w:tab w:val="clear" w:pos="4320"/>
                <w:tab w:val="clear" w:pos="8640"/>
              </w:tabs>
              <w:jc w:val="both"/>
            </w:pPr>
            <w:r>
              <w:t xml:space="preserve">the RRC </w:t>
            </w:r>
            <w:r w:rsidR="00697BB7">
              <w:t>may</w:t>
            </w:r>
            <w:r>
              <w:t xml:space="preserve"> authorize the issuance of customer rate relief bonds if the bill's requirements are met;</w:t>
            </w:r>
          </w:p>
          <w:p w14:paraId="698CA180" w14:textId="3B4D2B66" w:rsidR="00664AFB" w:rsidRDefault="008656F9" w:rsidP="001F24A1">
            <w:pPr>
              <w:pStyle w:val="Header"/>
              <w:numPr>
                <w:ilvl w:val="0"/>
                <w:numId w:val="6"/>
              </w:numPr>
              <w:jc w:val="both"/>
            </w:pPr>
            <w:r>
              <w:t>the RRC may assess to a gas utility costs associated with administering the bill's customer rate relief bonds provisions</w:t>
            </w:r>
            <w:r w:rsidR="00D309D5">
              <w:t xml:space="preserve"> and requires the a</w:t>
            </w:r>
            <w:r>
              <w:t xml:space="preserve">ssessments </w:t>
            </w:r>
            <w:r w:rsidR="00D309D5">
              <w:t>to</w:t>
            </w:r>
            <w:r>
              <w:t xml:space="preserve"> be recovered from rate-regulate</w:t>
            </w:r>
            <w:r w:rsidR="00D309D5">
              <w:t>d customers as part of gas cost;</w:t>
            </w:r>
            <w:r w:rsidR="007C1BEA">
              <w:t xml:space="preserve"> and</w:t>
            </w:r>
          </w:p>
          <w:p w14:paraId="531C8AE2" w14:textId="5A23E66D" w:rsidR="00664AFB" w:rsidRDefault="008656F9" w:rsidP="001F24A1">
            <w:pPr>
              <w:pStyle w:val="Header"/>
              <w:numPr>
                <w:ilvl w:val="0"/>
                <w:numId w:val="6"/>
              </w:numPr>
              <w:jc w:val="both"/>
            </w:pPr>
            <w:r>
              <w:t xml:space="preserve">the RRC </w:t>
            </w:r>
            <w:r w:rsidR="00697BB7">
              <w:t xml:space="preserve">has </w:t>
            </w:r>
            <w:r>
              <w:t xml:space="preserve">exclusive, original jurisdiction to issue financing orders that authorize the creation of customer rate relief property, customer rate relief charges </w:t>
            </w:r>
            <w:r>
              <w:t>to service customer rate relief bonds, and financing costs and requires customer rate relief charges, if authorized by the RRC through a financing order in its sole discretion, to be imposed pursuant to customer rate relief property and not by a gas utilit</w:t>
            </w:r>
            <w:r>
              <w:t>y.</w:t>
            </w:r>
          </w:p>
          <w:p w14:paraId="50D2818E" w14:textId="3526FF96" w:rsidR="00664AFB" w:rsidRDefault="008656F9" w:rsidP="001F24A1">
            <w:pPr>
              <w:pStyle w:val="Header"/>
              <w:jc w:val="both"/>
            </w:pPr>
            <w:r>
              <w:t xml:space="preserve">The bill establishes that, except as otherwise provided, its provisions relating to customer rate relief bonds do not limit or impair a regulatory authority's plenary jurisdiction over the rates, charges, and services rendered by gas utilities in Texas </w:t>
            </w:r>
            <w:r>
              <w:t>under specified statutory provisions.</w:t>
            </w:r>
          </w:p>
          <w:p w14:paraId="2805F2C7" w14:textId="21F082FF" w:rsidR="00664AFB" w:rsidRDefault="00664AFB" w:rsidP="001F24A1">
            <w:pPr>
              <w:pStyle w:val="Header"/>
              <w:tabs>
                <w:tab w:val="clear" w:pos="4320"/>
                <w:tab w:val="clear" w:pos="8640"/>
              </w:tabs>
              <w:jc w:val="both"/>
            </w:pPr>
          </w:p>
          <w:p w14:paraId="513067BB" w14:textId="45444477" w:rsidR="00692F96" w:rsidRDefault="008656F9" w:rsidP="001F24A1">
            <w:pPr>
              <w:pStyle w:val="Header"/>
              <w:tabs>
                <w:tab w:val="clear" w:pos="4320"/>
                <w:tab w:val="clear" w:pos="8640"/>
              </w:tabs>
              <w:jc w:val="both"/>
            </w:pPr>
            <w:r>
              <w:t>C.S.H.B. 1520 requires the RRC</w:t>
            </w:r>
            <w:r>
              <w:t>, on application of a gas utility to recover a regulatory asset, to determine the regulatory asset amount to be recovered by the gas utility. The bill requires a gas utility desiring to participate in the customer rate relief bond process under a financing</w:t>
            </w:r>
            <w:r>
              <w:t xml:space="preserve"> order to file an application with the RRC by a certain deadline </w:t>
            </w:r>
            <w:r w:rsidRPr="00692F96">
              <w:t>after the date of the conclusion of the event for which regulatory asset recovery is requested</w:t>
            </w:r>
            <w:r>
              <w:t>.</w:t>
            </w:r>
            <w:r w:rsidR="0053388F">
              <w:t xml:space="preserve"> The bill provides an exception to this deadline with regard to the </w:t>
            </w:r>
            <w:r w:rsidR="0053388F" w:rsidRPr="0053388F">
              <w:t>February 2021 winter storm</w:t>
            </w:r>
            <w:r w:rsidR="00895686">
              <w:t xml:space="preserve"> and sets out related provisions, including provisions relating to a </w:t>
            </w:r>
            <w:r w:rsidR="00895686" w:rsidRPr="00895686">
              <w:t>regulatory asset determination</w:t>
            </w:r>
            <w:r w:rsidR="00895686">
              <w:t>.</w:t>
            </w:r>
          </w:p>
          <w:p w14:paraId="3841A791" w14:textId="0777E076" w:rsidR="00895686" w:rsidRDefault="00895686" w:rsidP="001F24A1">
            <w:pPr>
              <w:pStyle w:val="Header"/>
              <w:tabs>
                <w:tab w:val="clear" w:pos="4320"/>
                <w:tab w:val="clear" w:pos="8640"/>
              </w:tabs>
              <w:jc w:val="both"/>
            </w:pPr>
          </w:p>
          <w:p w14:paraId="37C52948" w14:textId="450B66BA" w:rsidR="00D64B62" w:rsidRDefault="008656F9" w:rsidP="001F24A1">
            <w:pPr>
              <w:pStyle w:val="Header"/>
              <w:tabs>
                <w:tab w:val="clear" w:pos="4320"/>
                <w:tab w:val="clear" w:pos="8640"/>
              </w:tabs>
              <w:jc w:val="both"/>
            </w:pPr>
            <w:r w:rsidRPr="00895686">
              <w:t>C.S.H.B. 1520</w:t>
            </w:r>
            <w:r>
              <w:t>, i</w:t>
            </w:r>
            <w:r w:rsidRPr="00895686">
              <w:t xml:space="preserve">f the </w:t>
            </w:r>
            <w:r>
              <w:t>RRC</w:t>
            </w:r>
            <w:r w:rsidRPr="00895686">
              <w:t xml:space="preserve"> determines that customer rate relief bond financing for extraordinary costs is the most cost-effective method of funding regulator</w:t>
            </w:r>
            <w:r w:rsidRPr="00895686">
              <w:t xml:space="preserve">y asset reimbursements to be made to gas utilities, </w:t>
            </w:r>
            <w:r>
              <w:t>authorizes the RRC</w:t>
            </w:r>
            <w:r w:rsidRPr="00895686">
              <w:t xml:space="preserve">, after the final resolution of all applications, </w:t>
            </w:r>
            <w:r>
              <w:t>to</w:t>
            </w:r>
            <w:r w:rsidRPr="00895686">
              <w:t xml:space="preserve"> request the Texas Public Finance Authority</w:t>
            </w:r>
            <w:r>
              <w:t xml:space="preserve"> </w:t>
            </w:r>
            <w:r w:rsidRPr="00895686">
              <w:t>(TPFA) to issue customer rate relief bonds on the behalf</w:t>
            </w:r>
            <w:r>
              <w:t xml:space="preserve"> of the RRC</w:t>
            </w:r>
            <w:r w:rsidR="00D1654F">
              <w:t>.</w:t>
            </w:r>
            <w:r w:rsidRPr="00895686">
              <w:t xml:space="preserve"> </w:t>
            </w:r>
            <w:r w:rsidR="00D1654F">
              <w:t>The bill requires the RRC, b</w:t>
            </w:r>
            <w:r w:rsidR="00D1654F" w:rsidRPr="00D1654F">
              <w:t xml:space="preserve">efore making the request, </w:t>
            </w:r>
            <w:r w:rsidR="00D1654F">
              <w:t>to</w:t>
            </w:r>
            <w:r w:rsidR="00D1654F" w:rsidRPr="00D1654F">
              <w:t xml:space="preserve"> issue a financing order </w:t>
            </w:r>
            <w:r w:rsidR="00D1654F">
              <w:t>and sets out related provisions</w:t>
            </w:r>
            <w:r>
              <w:t>, including requirements for the financing order</w:t>
            </w:r>
            <w:r w:rsidR="00D1654F" w:rsidRPr="00D1654F">
              <w:t>.</w:t>
            </w:r>
            <w:r w:rsidR="00646CED">
              <w:t xml:space="preserve"> </w:t>
            </w:r>
            <w:r>
              <w:t xml:space="preserve">The bill, among other provisions, requires </w:t>
            </w:r>
            <w:r w:rsidRPr="00D64B62">
              <w:t>TPFA</w:t>
            </w:r>
            <w:r>
              <w:t xml:space="preserve">, consistent with the bill's </w:t>
            </w:r>
            <w:r w:rsidR="00A72562">
              <w:t xml:space="preserve">provisions relating to </w:t>
            </w:r>
            <w:r>
              <w:t>customer rate re</w:t>
            </w:r>
            <w:r>
              <w:t>lief bonds and the terms of the financing order, to do the following:</w:t>
            </w:r>
          </w:p>
          <w:p w14:paraId="21CD7764" w14:textId="5865BB12" w:rsidR="00D64B62" w:rsidRDefault="008656F9" w:rsidP="001F24A1">
            <w:pPr>
              <w:pStyle w:val="Header"/>
              <w:numPr>
                <w:ilvl w:val="0"/>
                <w:numId w:val="7"/>
              </w:numPr>
              <w:jc w:val="both"/>
            </w:pPr>
            <w:r>
              <w:t xml:space="preserve">issue customer rate relief bonds at the request of the RRC, in accordance </w:t>
            </w:r>
            <w:r w:rsidR="00A72562">
              <w:t xml:space="preserve">with </w:t>
            </w:r>
            <w:r>
              <w:t>specified provisions; and</w:t>
            </w:r>
          </w:p>
          <w:p w14:paraId="61621E65" w14:textId="30E8E251" w:rsidR="00D64B62" w:rsidRDefault="008656F9" w:rsidP="001F24A1">
            <w:pPr>
              <w:pStyle w:val="Header"/>
              <w:numPr>
                <w:ilvl w:val="0"/>
                <w:numId w:val="7"/>
              </w:numPr>
              <w:tabs>
                <w:tab w:val="clear" w:pos="4320"/>
                <w:tab w:val="clear" w:pos="8640"/>
              </w:tabs>
              <w:jc w:val="both"/>
            </w:pPr>
            <w:r>
              <w:t>determine the methods of sale, types of bonds, bond forms, maximum interest rates</w:t>
            </w:r>
            <w:r>
              <w:t>, and other terms of the customer rate relief bonds that in TPFA judgment best achieve the economic goals of the financing order and effect the financings at the lowest practicable cost.</w:t>
            </w:r>
          </w:p>
          <w:p w14:paraId="713F0761" w14:textId="24C88116" w:rsidR="00646CED" w:rsidRDefault="00646CED" w:rsidP="001F24A1">
            <w:pPr>
              <w:pStyle w:val="Header"/>
              <w:tabs>
                <w:tab w:val="clear" w:pos="4320"/>
                <w:tab w:val="clear" w:pos="8640"/>
              </w:tabs>
              <w:jc w:val="both"/>
            </w:pPr>
          </w:p>
          <w:p w14:paraId="072E0CDD" w14:textId="5EF23A82" w:rsidR="00B713D4" w:rsidRDefault="008656F9" w:rsidP="001F24A1">
            <w:pPr>
              <w:pStyle w:val="Header"/>
              <w:tabs>
                <w:tab w:val="clear" w:pos="4320"/>
                <w:tab w:val="clear" w:pos="8640"/>
              </w:tabs>
              <w:jc w:val="both"/>
            </w:pPr>
            <w:r>
              <w:t>C.S.H.B. 1520 authorizes</w:t>
            </w:r>
            <w:r w:rsidR="007C56A3">
              <w:t xml:space="preserve"> either</w:t>
            </w:r>
            <w:r>
              <w:t xml:space="preserve"> </w:t>
            </w:r>
            <w:r w:rsidRPr="00B713D4">
              <w:t>TPFA</w:t>
            </w:r>
            <w:r>
              <w:t xml:space="preserve"> to deposit proceeds of customer</w:t>
            </w:r>
            <w:r>
              <w:t xml:space="preserve"> rate relief bonds issued by or on behalf of </w:t>
            </w:r>
            <w:r w:rsidRPr="00B713D4">
              <w:t xml:space="preserve">TPFA </w:t>
            </w:r>
            <w:r>
              <w:t xml:space="preserve">with a trustee selected by </w:t>
            </w:r>
            <w:r w:rsidR="007C56A3" w:rsidRPr="007C56A3">
              <w:t xml:space="preserve">TPFA </w:t>
            </w:r>
            <w:r>
              <w:t>or</w:t>
            </w:r>
            <w:r w:rsidR="007C56A3">
              <w:t xml:space="preserve"> </w:t>
            </w:r>
            <w:r>
              <w:t xml:space="preserve">the proceeds </w:t>
            </w:r>
            <w:r w:rsidR="007C56A3">
              <w:t>to</w:t>
            </w:r>
            <w:r>
              <w:t xml:space="preserve"> be held by the comptroller</w:t>
            </w:r>
            <w:r w:rsidR="007C56A3">
              <w:t xml:space="preserve"> of public accounts</w:t>
            </w:r>
            <w:r>
              <w:t xml:space="preserve"> in a dedicated trust fund outside the state treasury in the</w:t>
            </w:r>
            <w:r w:rsidR="007C56A3">
              <w:t xml:space="preserve"> comptroller's</w:t>
            </w:r>
            <w:r>
              <w:t xml:space="preserve"> custody.</w:t>
            </w:r>
            <w:r w:rsidR="00C95693">
              <w:t xml:space="preserve"> </w:t>
            </w:r>
            <w:r w:rsidR="007C56A3">
              <w:t>The bill requires b</w:t>
            </w:r>
            <w:r>
              <w:t>ond pro</w:t>
            </w:r>
            <w:r>
              <w:t xml:space="preserve">ceeds, including investment income, </w:t>
            </w:r>
            <w:r w:rsidR="007C56A3">
              <w:t>to</w:t>
            </w:r>
            <w:r>
              <w:t xml:space="preserve"> be held in trust for the exclusive benefit of the </w:t>
            </w:r>
            <w:r w:rsidR="007C56A3">
              <w:t>RRC</w:t>
            </w:r>
            <w:r>
              <w:t xml:space="preserve"> policy of reimbursing gas utility costs. </w:t>
            </w:r>
            <w:r w:rsidR="007C56A3">
              <w:t xml:space="preserve">The bill requires </w:t>
            </w:r>
            <w:r w:rsidR="007C56A3" w:rsidRPr="007C56A3">
              <w:t xml:space="preserve">TPFA </w:t>
            </w:r>
            <w:r w:rsidR="007C56A3">
              <w:t>to use the proceeds as follows</w:t>
            </w:r>
            <w:r>
              <w:t>:</w:t>
            </w:r>
          </w:p>
          <w:p w14:paraId="0CB037CE" w14:textId="0D632F2A" w:rsidR="00B713D4" w:rsidRDefault="008656F9" w:rsidP="001F24A1">
            <w:pPr>
              <w:pStyle w:val="Header"/>
              <w:numPr>
                <w:ilvl w:val="0"/>
                <w:numId w:val="9"/>
              </w:numPr>
              <w:jc w:val="both"/>
            </w:pPr>
            <w:r>
              <w:t>to reimburse each gas utility the regulatory asset amount determine</w:t>
            </w:r>
            <w:r>
              <w:t>d to be reasonable for that gas utility in the financing order;</w:t>
            </w:r>
          </w:p>
          <w:p w14:paraId="5F59922E" w14:textId="1D03A36C" w:rsidR="00B713D4" w:rsidRDefault="008656F9" w:rsidP="001F24A1">
            <w:pPr>
              <w:pStyle w:val="Header"/>
              <w:numPr>
                <w:ilvl w:val="0"/>
                <w:numId w:val="9"/>
              </w:numPr>
              <w:jc w:val="both"/>
            </w:pPr>
            <w:r>
              <w:t>to pay the financing costs of issuing the bonds; and</w:t>
            </w:r>
          </w:p>
          <w:p w14:paraId="0A49DF55" w14:textId="2FA13A15" w:rsidR="00B713D4" w:rsidRDefault="008656F9" w:rsidP="001F24A1">
            <w:pPr>
              <w:pStyle w:val="Header"/>
              <w:numPr>
                <w:ilvl w:val="0"/>
                <w:numId w:val="9"/>
              </w:numPr>
              <w:jc w:val="both"/>
            </w:pPr>
            <w:r>
              <w:t>to provide bond reserves, as applicable.</w:t>
            </w:r>
          </w:p>
          <w:p w14:paraId="52FAFE5B" w14:textId="18D16986" w:rsidR="00B713D4" w:rsidRDefault="008656F9" w:rsidP="001F24A1">
            <w:pPr>
              <w:pStyle w:val="Header"/>
              <w:tabs>
                <w:tab w:val="clear" w:pos="4320"/>
                <w:tab w:val="clear" w:pos="8640"/>
              </w:tabs>
              <w:jc w:val="both"/>
            </w:pPr>
            <w:r>
              <w:t>If there are no outstanding bonds or bond interest to be paid, the remaining proceeds must be used</w:t>
            </w:r>
            <w:r>
              <w:t xml:space="preserve"> to provide credits to gas utility customers.</w:t>
            </w:r>
          </w:p>
          <w:p w14:paraId="5CEEFB71" w14:textId="53998F30" w:rsidR="00B713D4" w:rsidRDefault="00B713D4" w:rsidP="001F24A1">
            <w:pPr>
              <w:pStyle w:val="Header"/>
              <w:tabs>
                <w:tab w:val="clear" w:pos="4320"/>
                <w:tab w:val="clear" w:pos="8640"/>
              </w:tabs>
              <w:jc w:val="both"/>
            </w:pPr>
          </w:p>
          <w:p w14:paraId="1E81211E" w14:textId="32FD4ED3" w:rsidR="00D90C96" w:rsidRDefault="008656F9" w:rsidP="001F24A1">
            <w:pPr>
              <w:pStyle w:val="Header"/>
              <w:tabs>
                <w:tab w:val="clear" w:pos="4320"/>
                <w:tab w:val="clear" w:pos="8640"/>
              </w:tabs>
              <w:jc w:val="both"/>
            </w:pPr>
            <w:r>
              <w:t>C.S.H.B. 1520 establishes that c</w:t>
            </w:r>
            <w:r w:rsidRPr="00D90C96">
              <w:t>ustomer rate relief bonds and any related ancillary agreements or credit agreements are not a debt or pledge of the faith and credit of th</w:t>
            </w:r>
            <w:r>
              <w:t>e</w:t>
            </w:r>
            <w:r w:rsidRPr="00D90C96">
              <w:t xml:space="preserve"> state or a state agency or political </w:t>
            </w:r>
            <w:r w:rsidRPr="00D90C96">
              <w:t>subdivision of th</w:t>
            </w:r>
            <w:r>
              <w:t>e</w:t>
            </w:r>
            <w:r w:rsidRPr="00D90C96">
              <w:t xml:space="preserve"> state. A customer rate relief bond, ancillary agreement, or credit agreement is payable solely from customer rate relief charges as provided by </w:t>
            </w:r>
            <w:r>
              <w:t>the bill</w:t>
            </w:r>
            <w:r w:rsidRPr="00D90C96">
              <w:t>.</w:t>
            </w:r>
            <w:r>
              <w:t xml:space="preserve"> The bill sets out related provisions.</w:t>
            </w:r>
          </w:p>
          <w:p w14:paraId="5FAC856B" w14:textId="77777777" w:rsidR="00D90C96" w:rsidRDefault="00D90C96" w:rsidP="001F24A1">
            <w:pPr>
              <w:pStyle w:val="Header"/>
              <w:tabs>
                <w:tab w:val="clear" w:pos="4320"/>
                <w:tab w:val="clear" w:pos="8640"/>
              </w:tabs>
              <w:jc w:val="both"/>
            </w:pPr>
          </w:p>
          <w:p w14:paraId="742A4F1D" w14:textId="77777777" w:rsidR="00646CED" w:rsidRDefault="008656F9" w:rsidP="001F24A1">
            <w:pPr>
              <w:pStyle w:val="Header"/>
              <w:tabs>
                <w:tab w:val="clear" w:pos="4320"/>
                <w:tab w:val="clear" w:pos="8640"/>
              </w:tabs>
              <w:jc w:val="both"/>
            </w:pPr>
            <w:r>
              <w:t xml:space="preserve">C.S.H.B. 1520, with regard to </w:t>
            </w:r>
            <w:r w:rsidRPr="00646CED">
              <w:t xml:space="preserve">customer rate </w:t>
            </w:r>
            <w:r w:rsidRPr="00646CED">
              <w:t>relief bonds</w:t>
            </w:r>
            <w:r>
              <w:t>, sets out provisions relating to the following:</w:t>
            </w:r>
          </w:p>
          <w:p w14:paraId="545647DE" w14:textId="3F1270EA" w:rsidR="00646CED" w:rsidRDefault="008656F9" w:rsidP="001F24A1">
            <w:pPr>
              <w:pStyle w:val="Header"/>
              <w:numPr>
                <w:ilvl w:val="0"/>
                <w:numId w:val="11"/>
              </w:numPr>
              <w:tabs>
                <w:tab w:val="clear" w:pos="4320"/>
                <w:tab w:val="clear" w:pos="8640"/>
              </w:tabs>
              <w:jc w:val="both"/>
            </w:pPr>
            <w:r>
              <w:t xml:space="preserve">property rights; </w:t>
            </w:r>
          </w:p>
          <w:p w14:paraId="41828950" w14:textId="599470B7" w:rsidR="00962517" w:rsidRDefault="008656F9" w:rsidP="001F24A1">
            <w:pPr>
              <w:pStyle w:val="Header"/>
              <w:numPr>
                <w:ilvl w:val="0"/>
                <w:numId w:val="11"/>
              </w:numPr>
              <w:tabs>
                <w:tab w:val="clear" w:pos="4320"/>
                <w:tab w:val="clear" w:pos="8640"/>
              </w:tabs>
              <w:jc w:val="both"/>
            </w:pPr>
            <w:r>
              <w:t xml:space="preserve">property interest that is </w:t>
            </w:r>
            <w:r w:rsidRPr="00962517">
              <w:t>not subject to setoff, counterclaim, surcharge, or defense</w:t>
            </w:r>
            <w:r>
              <w:t>;</w:t>
            </w:r>
          </w:p>
          <w:p w14:paraId="2EB5077B" w14:textId="651419BC" w:rsidR="00962517" w:rsidRDefault="008656F9" w:rsidP="001F24A1">
            <w:pPr>
              <w:pStyle w:val="Header"/>
              <w:numPr>
                <w:ilvl w:val="0"/>
                <w:numId w:val="11"/>
              </w:numPr>
              <w:tabs>
                <w:tab w:val="clear" w:pos="4320"/>
                <w:tab w:val="clear" w:pos="8640"/>
              </w:tabs>
              <w:jc w:val="both"/>
            </w:pPr>
            <w:r w:rsidRPr="00962517">
              <w:t>customer rate relief charges</w:t>
            </w:r>
            <w:r>
              <w:t xml:space="preserve"> being nonbypassable;</w:t>
            </w:r>
          </w:p>
          <w:p w14:paraId="4F2C20E8" w14:textId="19F6B193" w:rsidR="00922B13" w:rsidRDefault="008656F9" w:rsidP="001F24A1">
            <w:pPr>
              <w:pStyle w:val="Header"/>
              <w:numPr>
                <w:ilvl w:val="0"/>
                <w:numId w:val="11"/>
              </w:numPr>
              <w:tabs>
                <w:tab w:val="clear" w:pos="4320"/>
                <w:tab w:val="clear" w:pos="8640"/>
              </w:tabs>
              <w:jc w:val="both"/>
            </w:pPr>
            <w:r>
              <w:t xml:space="preserve">a </w:t>
            </w:r>
            <w:r w:rsidRPr="00922B13">
              <w:t>formulaic</w:t>
            </w:r>
            <w:r>
              <w:t xml:space="preserve"> </w:t>
            </w:r>
            <w:r w:rsidRPr="00922B13">
              <w:t xml:space="preserve">true-up charge adjustment </w:t>
            </w:r>
            <w:r w:rsidRPr="00922B13">
              <w:t>mechanism</w:t>
            </w:r>
            <w:r>
              <w:t xml:space="preserve"> required to be included in a financing order;</w:t>
            </w:r>
          </w:p>
          <w:p w14:paraId="28071C8F" w14:textId="3D0E2E4B" w:rsidR="00B713D4" w:rsidRDefault="008656F9" w:rsidP="001F24A1">
            <w:pPr>
              <w:pStyle w:val="Header"/>
              <w:numPr>
                <w:ilvl w:val="0"/>
                <w:numId w:val="11"/>
              </w:numPr>
              <w:tabs>
                <w:tab w:val="clear" w:pos="4320"/>
                <w:tab w:val="clear" w:pos="8640"/>
              </w:tabs>
              <w:jc w:val="both"/>
            </w:pPr>
            <w:r w:rsidRPr="00B713D4">
              <w:t>liens and security interests in customer rate relief property</w:t>
            </w:r>
            <w:r w:rsidR="009C1329">
              <w:t>, including certain rules adopted by the secretary of state governing applicable notice requirements</w:t>
            </w:r>
            <w:r>
              <w:t>;</w:t>
            </w:r>
          </w:p>
          <w:p w14:paraId="1A17E56F" w14:textId="21047A68" w:rsidR="00566E14" w:rsidRDefault="008656F9" w:rsidP="001F24A1">
            <w:pPr>
              <w:pStyle w:val="Header"/>
              <w:numPr>
                <w:ilvl w:val="0"/>
                <w:numId w:val="11"/>
              </w:numPr>
              <w:tabs>
                <w:tab w:val="clear" w:pos="4320"/>
                <w:tab w:val="clear" w:pos="8640"/>
              </w:tabs>
              <w:jc w:val="both"/>
            </w:pPr>
            <w:r w:rsidRPr="00566E14">
              <w:t>repayment of customer rate relief bon</w:t>
            </w:r>
            <w:r w:rsidRPr="00566E14">
              <w:t>ds</w:t>
            </w:r>
            <w:r>
              <w:t>;</w:t>
            </w:r>
          </w:p>
          <w:p w14:paraId="43D8A1C7" w14:textId="142C22F6" w:rsidR="00A56AF5" w:rsidRDefault="008656F9" w:rsidP="001F24A1">
            <w:pPr>
              <w:pStyle w:val="Header"/>
              <w:numPr>
                <w:ilvl w:val="0"/>
                <w:numId w:val="11"/>
              </w:numPr>
              <w:tabs>
                <w:tab w:val="clear" w:pos="4320"/>
                <w:tab w:val="clear" w:pos="8640"/>
              </w:tabs>
              <w:jc w:val="both"/>
            </w:pPr>
            <w:r>
              <w:t>applicable tax exemptions;</w:t>
            </w:r>
          </w:p>
          <w:p w14:paraId="7C45FCBF" w14:textId="777CF30B" w:rsidR="00A56AF5" w:rsidRDefault="008656F9" w:rsidP="001F24A1">
            <w:pPr>
              <w:pStyle w:val="Header"/>
              <w:numPr>
                <w:ilvl w:val="0"/>
                <w:numId w:val="11"/>
              </w:numPr>
              <w:tabs>
                <w:tab w:val="clear" w:pos="4320"/>
                <w:tab w:val="clear" w:pos="8640"/>
              </w:tabs>
              <w:jc w:val="both"/>
            </w:pPr>
            <w:r>
              <w:t>a prohibition against a</w:t>
            </w:r>
            <w:r w:rsidRPr="00A56AF5">
              <w:t xml:space="preserve">n assignee or financing party </w:t>
            </w:r>
            <w:r>
              <w:t>from</w:t>
            </w:r>
            <w:r w:rsidRPr="00A56AF5">
              <w:t xml:space="preserve"> be</w:t>
            </w:r>
            <w:r>
              <w:t>ing</w:t>
            </w:r>
            <w:r w:rsidRPr="00A56AF5">
              <w:t xml:space="preserve"> considered to be a public utility or person providing natural gas service solely by virtue of </w:t>
            </w:r>
            <w:r w:rsidR="00291334">
              <w:t xml:space="preserve">applicable </w:t>
            </w:r>
            <w:r w:rsidRPr="00A56AF5">
              <w:t>transactions</w:t>
            </w:r>
            <w:r>
              <w:t>;</w:t>
            </w:r>
          </w:p>
          <w:p w14:paraId="5CAF7E7D" w14:textId="56DE3114" w:rsidR="00A56AF5" w:rsidRDefault="008656F9" w:rsidP="001F24A1">
            <w:pPr>
              <w:pStyle w:val="Header"/>
              <w:numPr>
                <w:ilvl w:val="0"/>
                <w:numId w:val="11"/>
              </w:numPr>
              <w:tabs>
                <w:tab w:val="clear" w:pos="4320"/>
                <w:tab w:val="clear" w:pos="8640"/>
              </w:tabs>
              <w:jc w:val="both"/>
            </w:pPr>
            <w:r>
              <w:t>exemption</w:t>
            </w:r>
            <w:r w:rsidR="00B621B4">
              <w:t>s</w:t>
            </w:r>
            <w:r>
              <w:t xml:space="preserve"> from personal liability</w:t>
            </w:r>
            <w:r w:rsidR="00B621B4">
              <w:t xml:space="preserve"> for specified persons</w:t>
            </w:r>
            <w:r>
              <w:t>;</w:t>
            </w:r>
            <w:r w:rsidR="00291334">
              <w:t xml:space="preserve"> and</w:t>
            </w:r>
          </w:p>
          <w:p w14:paraId="27CA772C" w14:textId="5CDB292D" w:rsidR="00291334" w:rsidRDefault="008656F9" w:rsidP="001F24A1">
            <w:pPr>
              <w:pStyle w:val="Header"/>
              <w:numPr>
                <w:ilvl w:val="0"/>
                <w:numId w:val="11"/>
              </w:numPr>
              <w:tabs>
                <w:tab w:val="clear" w:pos="4320"/>
                <w:tab w:val="clear" w:pos="8640"/>
              </w:tabs>
              <w:jc w:val="both"/>
            </w:pPr>
            <w:r>
              <w:t>severability of provisions.</w:t>
            </w:r>
          </w:p>
          <w:p w14:paraId="02756C5C" w14:textId="3BC1502E" w:rsidR="00692F96" w:rsidRDefault="00692F96" w:rsidP="001F24A1">
            <w:pPr>
              <w:pStyle w:val="Header"/>
              <w:tabs>
                <w:tab w:val="clear" w:pos="4320"/>
                <w:tab w:val="clear" w:pos="8640"/>
              </w:tabs>
              <w:jc w:val="both"/>
            </w:pPr>
          </w:p>
          <w:p w14:paraId="58508A9B" w14:textId="04BB4B2A" w:rsidR="00F302A4" w:rsidRDefault="008656F9" w:rsidP="001F24A1">
            <w:pPr>
              <w:pStyle w:val="Header"/>
              <w:tabs>
                <w:tab w:val="clear" w:pos="4320"/>
                <w:tab w:val="clear" w:pos="8640"/>
              </w:tabs>
              <w:jc w:val="both"/>
            </w:pPr>
            <w:r>
              <w:t xml:space="preserve">C.S.H.B. 1520 amends the </w:t>
            </w:r>
            <w:r w:rsidRPr="006E2373">
              <w:t>Government Code</w:t>
            </w:r>
            <w:r>
              <w:t xml:space="preserve"> to add as a purpose of the</w:t>
            </w:r>
            <w:r w:rsidRPr="006E2373">
              <w:t xml:space="preserve"> Texas Public Finance Authority Act</w:t>
            </w:r>
            <w:r>
              <w:t xml:space="preserve"> the provision of </w:t>
            </w:r>
            <w:r w:rsidRPr="006E2373">
              <w:t>a method of financing for</w:t>
            </w:r>
            <w:r>
              <w:t xml:space="preserve"> </w:t>
            </w:r>
            <w:r w:rsidRPr="006E2373">
              <w:t xml:space="preserve">customer rate relief bonds authorized by the </w:t>
            </w:r>
            <w:r>
              <w:t>RRC.</w:t>
            </w:r>
            <w:r w:rsidR="007C1BEA">
              <w:t xml:space="preserve"> </w:t>
            </w:r>
            <w:r w:rsidR="00683099">
              <w:t xml:space="preserve">The bill authorizes </w:t>
            </w:r>
            <w:r w:rsidR="00683099" w:rsidRPr="00683099">
              <w:t xml:space="preserve">TPFA, either directly or by means of a trust established by TPFA, </w:t>
            </w:r>
            <w:r w:rsidR="00683099">
              <w:t>to</w:t>
            </w:r>
            <w:r w:rsidR="00683099" w:rsidRPr="00683099">
              <w:t xml:space="preserve"> issue obligations or other evidences of indebtedness for financing customer rate relief bonds approved under</w:t>
            </w:r>
            <w:r w:rsidR="00683099">
              <w:t xml:space="preserve"> the bill's</w:t>
            </w:r>
            <w:r w:rsidR="00683099" w:rsidRPr="00683099">
              <w:t xml:space="preserve"> Utilities Code</w:t>
            </w:r>
            <w:r w:rsidR="00683099">
              <w:t xml:space="preserve"> provisions</w:t>
            </w:r>
            <w:r w:rsidR="007C1BEA">
              <w:t xml:space="preserve"> and</w:t>
            </w:r>
            <w:r w:rsidR="00C375D1">
              <w:t xml:space="preserve"> sets out related provisions</w:t>
            </w:r>
            <w:r w:rsidR="007C1BEA">
              <w:t xml:space="preserve">. </w:t>
            </w:r>
          </w:p>
          <w:p w14:paraId="72598A9B" w14:textId="77777777" w:rsidR="008423E4" w:rsidRPr="00835628" w:rsidRDefault="008423E4" w:rsidP="001F24A1">
            <w:pPr>
              <w:rPr>
                <w:b/>
              </w:rPr>
            </w:pPr>
          </w:p>
        </w:tc>
      </w:tr>
      <w:tr w:rsidR="008A1DB6" w14:paraId="4FF97E9B" w14:textId="77777777" w:rsidTr="001F24A1">
        <w:tc>
          <w:tcPr>
            <w:tcW w:w="9360" w:type="dxa"/>
          </w:tcPr>
          <w:p w14:paraId="2F79D1C2" w14:textId="77777777" w:rsidR="008423E4" w:rsidRPr="00A8133F" w:rsidRDefault="008656F9" w:rsidP="001F24A1">
            <w:pPr>
              <w:rPr>
                <w:b/>
              </w:rPr>
            </w:pPr>
            <w:r w:rsidRPr="009C1E9A">
              <w:rPr>
                <w:b/>
                <w:u w:val="single"/>
              </w:rPr>
              <w:t>EFFECTIVE DATE</w:t>
            </w:r>
            <w:r>
              <w:rPr>
                <w:b/>
              </w:rPr>
              <w:t xml:space="preserve"> </w:t>
            </w:r>
          </w:p>
          <w:p w14:paraId="6F70C070" w14:textId="77777777" w:rsidR="008423E4" w:rsidRDefault="008423E4" w:rsidP="001F24A1"/>
          <w:p w14:paraId="53937508" w14:textId="5BFFBFDB" w:rsidR="008423E4" w:rsidRPr="003624F2" w:rsidRDefault="008656F9" w:rsidP="001F24A1">
            <w:pPr>
              <w:pStyle w:val="Header"/>
              <w:tabs>
                <w:tab w:val="clear" w:pos="4320"/>
                <w:tab w:val="clear" w:pos="8640"/>
              </w:tabs>
              <w:jc w:val="both"/>
            </w:pPr>
            <w:r>
              <w:t>On passage, or, if the bill does not receive the necessary vote, September 1, 2021.</w:t>
            </w:r>
          </w:p>
          <w:p w14:paraId="5AFDA6EB" w14:textId="77777777" w:rsidR="008423E4" w:rsidRPr="00233FDB" w:rsidRDefault="008423E4" w:rsidP="001F24A1">
            <w:pPr>
              <w:rPr>
                <w:b/>
              </w:rPr>
            </w:pPr>
          </w:p>
        </w:tc>
      </w:tr>
      <w:tr w:rsidR="008A1DB6" w14:paraId="1FD78C9E" w14:textId="77777777" w:rsidTr="001F24A1">
        <w:tc>
          <w:tcPr>
            <w:tcW w:w="9360" w:type="dxa"/>
          </w:tcPr>
          <w:p w14:paraId="317AD61A" w14:textId="77777777" w:rsidR="008F6216" w:rsidRDefault="008656F9" w:rsidP="001F24A1">
            <w:pPr>
              <w:jc w:val="both"/>
              <w:rPr>
                <w:b/>
                <w:u w:val="single"/>
              </w:rPr>
            </w:pPr>
            <w:r>
              <w:rPr>
                <w:b/>
                <w:u w:val="single"/>
              </w:rPr>
              <w:t>COMPARISON OF ORIGINAL AND SUBSTITUTE</w:t>
            </w:r>
          </w:p>
          <w:p w14:paraId="43BFA247" w14:textId="77777777" w:rsidR="00890A02" w:rsidRDefault="00890A02" w:rsidP="001F24A1">
            <w:pPr>
              <w:jc w:val="both"/>
            </w:pPr>
          </w:p>
          <w:p w14:paraId="50747C76" w14:textId="05D78C25" w:rsidR="009C47D3" w:rsidRPr="009C47D3" w:rsidRDefault="008656F9" w:rsidP="001F24A1">
            <w:pPr>
              <w:jc w:val="both"/>
            </w:pPr>
            <w:r>
              <w:t xml:space="preserve">C.S.H.B. 1520 differs from the original in minor or nonsubstantive ways by conforming to certain bill </w:t>
            </w:r>
            <w:r>
              <w:t>drafting conventions.</w:t>
            </w:r>
          </w:p>
        </w:tc>
      </w:tr>
    </w:tbl>
    <w:p w14:paraId="260752AD" w14:textId="77777777" w:rsidR="008423E4" w:rsidRPr="00BE0E75" w:rsidRDefault="008423E4" w:rsidP="001F24A1">
      <w:pPr>
        <w:jc w:val="both"/>
        <w:rPr>
          <w:rFonts w:ascii="Arial" w:hAnsi="Arial"/>
          <w:sz w:val="16"/>
          <w:szCs w:val="16"/>
        </w:rPr>
      </w:pPr>
    </w:p>
    <w:p w14:paraId="01FB8D65" w14:textId="77777777" w:rsidR="004108C3" w:rsidRPr="008423E4" w:rsidRDefault="004108C3" w:rsidP="001F24A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2D0A" w14:textId="77777777" w:rsidR="00000000" w:rsidRDefault="008656F9">
      <w:r>
        <w:separator/>
      </w:r>
    </w:p>
  </w:endnote>
  <w:endnote w:type="continuationSeparator" w:id="0">
    <w:p w14:paraId="1D4643E4" w14:textId="77777777" w:rsidR="00000000" w:rsidRDefault="0086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3AA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A1DB6" w14:paraId="21453D35" w14:textId="77777777" w:rsidTr="009C1E9A">
      <w:trPr>
        <w:cantSplit/>
      </w:trPr>
      <w:tc>
        <w:tcPr>
          <w:tcW w:w="0" w:type="pct"/>
        </w:tcPr>
        <w:p w14:paraId="689322D3" w14:textId="77777777" w:rsidR="00137D90" w:rsidRDefault="00137D90" w:rsidP="009C1E9A">
          <w:pPr>
            <w:pStyle w:val="Footer"/>
            <w:tabs>
              <w:tab w:val="clear" w:pos="8640"/>
              <w:tab w:val="right" w:pos="9360"/>
            </w:tabs>
          </w:pPr>
        </w:p>
      </w:tc>
      <w:tc>
        <w:tcPr>
          <w:tcW w:w="2395" w:type="pct"/>
        </w:tcPr>
        <w:p w14:paraId="6FABF661" w14:textId="77777777" w:rsidR="00137D90" w:rsidRDefault="00137D90" w:rsidP="009C1E9A">
          <w:pPr>
            <w:pStyle w:val="Footer"/>
            <w:tabs>
              <w:tab w:val="clear" w:pos="8640"/>
              <w:tab w:val="right" w:pos="9360"/>
            </w:tabs>
          </w:pPr>
        </w:p>
        <w:p w14:paraId="3317DF80" w14:textId="77777777" w:rsidR="001A4310" w:rsidRDefault="001A4310" w:rsidP="009C1E9A">
          <w:pPr>
            <w:pStyle w:val="Footer"/>
            <w:tabs>
              <w:tab w:val="clear" w:pos="8640"/>
              <w:tab w:val="right" w:pos="9360"/>
            </w:tabs>
          </w:pPr>
        </w:p>
        <w:p w14:paraId="35E5F982" w14:textId="77777777" w:rsidR="00137D90" w:rsidRDefault="00137D90" w:rsidP="009C1E9A">
          <w:pPr>
            <w:pStyle w:val="Footer"/>
            <w:tabs>
              <w:tab w:val="clear" w:pos="8640"/>
              <w:tab w:val="right" w:pos="9360"/>
            </w:tabs>
          </w:pPr>
        </w:p>
      </w:tc>
      <w:tc>
        <w:tcPr>
          <w:tcW w:w="2453" w:type="pct"/>
        </w:tcPr>
        <w:p w14:paraId="52A1B90E" w14:textId="77777777" w:rsidR="00137D90" w:rsidRDefault="00137D90" w:rsidP="009C1E9A">
          <w:pPr>
            <w:pStyle w:val="Footer"/>
            <w:tabs>
              <w:tab w:val="clear" w:pos="8640"/>
              <w:tab w:val="right" w:pos="9360"/>
            </w:tabs>
            <w:jc w:val="right"/>
          </w:pPr>
        </w:p>
      </w:tc>
    </w:tr>
    <w:tr w:rsidR="008A1DB6" w14:paraId="236C0EDB" w14:textId="77777777" w:rsidTr="009C1E9A">
      <w:trPr>
        <w:cantSplit/>
      </w:trPr>
      <w:tc>
        <w:tcPr>
          <w:tcW w:w="0" w:type="pct"/>
        </w:tcPr>
        <w:p w14:paraId="7849DC0A" w14:textId="77777777" w:rsidR="00EC379B" w:rsidRDefault="00EC379B" w:rsidP="009C1E9A">
          <w:pPr>
            <w:pStyle w:val="Footer"/>
            <w:tabs>
              <w:tab w:val="clear" w:pos="8640"/>
              <w:tab w:val="right" w:pos="9360"/>
            </w:tabs>
          </w:pPr>
        </w:p>
      </w:tc>
      <w:tc>
        <w:tcPr>
          <w:tcW w:w="2395" w:type="pct"/>
        </w:tcPr>
        <w:p w14:paraId="448B57E7" w14:textId="77777777" w:rsidR="00EC379B" w:rsidRPr="009C1E9A" w:rsidRDefault="008656F9" w:rsidP="009C1E9A">
          <w:pPr>
            <w:pStyle w:val="Footer"/>
            <w:tabs>
              <w:tab w:val="clear" w:pos="8640"/>
              <w:tab w:val="right" w:pos="9360"/>
            </w:tabs>
            <w:rPr>
              <w:rFonts w:ascii="Shruti" w:hAnsi="Shruti"/>
              <w:sz w:val="22"/>
            </w:rPr>
          </w:pPr>
          <w:r>
            <w:rPr>
              <w:rFonts w:ascii="Shruti" w:hAnsi="Shruti"/>
              <w:sz w:val="22"/>
            </w:rPr>
            <w:t>87R 17153</w:t>
          </w:r>
        </w:p>
      </w:tc>
      <w:tc>
        <w:tcPr>
          <w:tcW w:w="2453" w:type="pct"/>
        </w:tcPr>
        <w:p w14:paraId="30B824E4" w14:textId="39280A82" w:rsidR="00EC379B" w:rsidRDefault="008656F9" w:rsidP="009C1E9A">
          <w:pPr>
            <w:pStyle w:val="Footer"/>
            <w:tabs>
              <w:tab w:val="clear" w:pos="8640"/>
              <w:tab w:val="right" w:pos="9360"/>
            </w:tabs>
            <w:jc w:val="right"/>
          </w:pPr>
          <w:r>
            <w:fldChar w:fldCharType="begin"/>
          </w:r>
          <w:r>
            <w:instrText xml:space="preserve"> DOCPROPERTY  OTID  \* MERGEFORMAT </w:instrText>
          </w:r>
          <w:r>
            <w:fldChar w:fldCharType="separate"/>
          </w:r>
          <w:r w:rsidR="00BE7A14">
            <w:t>21.86.94</w:t>
          </w:r>
          <w:r>
            <w:fldChar w:fldCharType="end"/>
          </w:r>
        </w:p>
      </w:tc>
    </w:tr>
    <w:tr w:rsidR="008A1DB6" w14:paraId="2D722292" w14:textId="77777777" w:rsidTr="009C1E9A">
      <w:trPr>
        <w:cantSplit/>
      </w:trPr>
      <w:tc>
        <w:tcPr>
          <w:tcW w:w="0" w:type="pct"/>
        </w:tcPr>
        <w:p w14:paraId="03829ABD" w14:textId="77777777" w:rsidR="00EC379B" w:rsidRDefault="00EC379B" w:rsidP="009C1E9A">
          <w:pPr>
            <w:pStyle w:val="Footer"/>
            <w:tabs>
              <w:tab w:val="clear" w:pos="4320"/>
              <w:tab w:val="clear" w:pos="8640"/>
              <w:tab w:val="left" w:pos="2865"/>
            </w:tabs>
          </w:pPr>
        </w:p>
      </w:tc>
      <w:tc>
        <w:tcPr>
          <w:tcW w:w="2395" w:type="pct"/>
        </w:tcPr>
        <w:p w14:paraId="4476FA75" w14:textId="77777777" w:rsidR="00EC379B" w:rsidRPr="009C1E9A" w:rsidRDefault="008656F9" w:rsidP="009C1E9A">
          <w:pPr>
            <w:pStyle w:val="Footer"/>
            <w:tabs>
              <w:tab w:val="clear" w:pos="4320"/>
              <w:tab w:val="clear" w:pos="8640"/>
              <w:tab w:val="left" w:pos="2865"/>
            </w:tabs>
            <w:rPr>
              <w:rFonts w:ascii="Shruti" w:hAnsi="Shruti"/>
              <w:sz w:val="22"/>
            </w:rPr>
          </w:pPr>
          <w:r>
            <w:rPr>
              <w:rFonts w:ascii="Shruti" w:hAnsi="Shruti"/>
              <w:sz w:val="22"/>
            </w:rPr>
            <w:t>Substitute Document Number: 87R 16129</w:t>
          </w:r>
        </w:p>
      </w:tc>
      <w:tc>
        <w:tcPr>
          <w:tcW w:w="2453" w:type="pct"/>
        </w:tcPr>
        <w:p w14:paraId="23734461" w14:textId="77777777" w:rsidR="00EC379B" w:rsidRDefault="00EC379B" w:rsidP="006D504F">
          <w:pPr>
            <w:pStyle w:val="Footer"/>
            <w:rPr>
              <w:rStyle w:val="PageNumber"/>
            </w:rPr>
          </w:pPr>
        </w:p>
        <w:p w14:paraId="181309F8" w14:textId="77777777" w:rsidR="00EC379B" w:rsidRDefault="00EC379B" w:rsidP="009C1E9A">
          <w:pPr>
            <w:pStyle w:val="Footer"/>
            <w:tabs>
              <w:tab w:val="clear" w:pos="8640"/>
              <w:tab w:val="right" w:pos="9360"/>
            </w:tabs>
            <w:jc w:val="right"/>
          </w:pPr>
        </w:p>
      </w:tc>
    </w:tr>
    <w:tr w:rsidR="008A1DB6" w14:paraId="3ABFF874" w14:textId="77777777" w:rsidTr="009C1E9A">
      <w:trPr>
        <w:cantSplit/>
        <w:trHeight w:val="323"/>
      </w:trPr>
      <w:tc>
        <w:tcPr>
          <w:tcW w:w="0" w:type="pct"/>
          <w:gridSpan w:val="3"/>
        </w:tcPr>
        <w:p w14:paraId="0EA50CB7" w14:textId="55A5020E" w:rsidR="00EC379B" w:rsidRDefault="008656F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F24A1">
            <w:rPr>
              <w:rStyle w:val="PageNumber"/>
              <w:noProof/>
            </w:rPr>
            <w:t>1</w:t>
          </w:r>
          <w:r>
            <w:rPr>
              <w:rStyle w:val="PageNumber"/>
            </w:rPr>
            <w:fldChar w:fldCharType="end"/>
          </w:r>
        </w:p>
        <w:p w14:paraId="6CE57B81" w14:textId="77777777" w:rsidR="00EC379B" w:rsidRDefault="00EC379B" w:rsidP="009C1E9A">
          <w:pPr>
            <w:pStyle w:val="Footer"/>
            <w:tabs>
              <w:tab w:val="clear" w:pos="8640"/>
              <w:tab w:val="right" w:pos="9360"/>
            </w:tabs>
            <w:jc w:val="center"/>
          </w:pPr>
        </w:p>
      </w:tc>
    </w:tr>
  </w:tbl>
  <w:p w14:paraId="71AB45E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860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B4085" w14:textId="77777777" w:rsidR="00000000" w:rsidRDefault="008656F9">
      <w:r>
        <w:separator/>
      </w:r>
    </w:p>
  </w:footnote>
  <w:footnote w:type="continuationSeparator" w:id="0">
    <w:p w14:paraId="6C5CE388" w14:textId="77777777" w:rsidR="00000000" w:rsidRDefault="0086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435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076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08A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131"/>
    <w:multiLevelType w:val="hybridMultilevel"/>
    <w:tmpl w:val="D6BA2D20"/>
    <w:lvl w:ilvl="0" w:tplc="825EEF58">
      <w:start w:val="1"/>
      <w:numFmt w:val="bullet"/>
      <w:lvlText w:val=""/>
      <w:lvlJc w:val="left"/>
      <w:pPr>
        <w:ind w:left="720" w:hanging="360"/>
      </w:pPr>
      <w:rPr>
        <w:rFonts w:ascii="Symbol" w:hAnsi="Symbol" w:hint="default"/>
      </w:rPr>
    </w:lvl>
    <w:lvl w:ilvl="1" w:tplc="9EA6F832" w:tentative="1">
      <w:start w:val="1"/>
      <w:numFmt w:val="bullet"/>
      <w:lvlText w:val="o"/>
      <w:lvlJc w:val="left"/>
      <w:pPr>
        <w:ind w:left="1440" w:hanging="360"/>
      </w:pPr>
      <w:rPr>
        <w:rFonts w:ascii="Courier New" w:hAnsi="Courier New" w:cs="Courier New" w:hint="default"/>
      </w:rPr>
    </w:lvl>
    <w:lvl w:ilvl="2" w:tplc="60E2373C" w:tentative="1">
      <w:start w:val="1"/>
      <w:numFmt w:val="bullet"/>
      <w:lvlText w:val=""/>
      <w:lvlJc w:val="left"/>
      <w:pPr>
        <w:ind w:left="2160" w:hanging="360"/>
      </w:pPr>
      <w:rPr>
        <w:rFonts w:ascii="Wingdings" w:hAnsi="Wingdings" w:hint="default"/>
      </w:rPr>
    </w:lvl>
    <w:lvl w:ilvl="3" w:tplc="84F0788C" w:tentative="1">
      <w:start w:val="1"/>
      <w:numFmt w:val="bullet"/>
      <w:lvlText w:val=""/>
      <w:lvlJc w:val="left"/>
      <w:pPr>
        <w:ind w:left="2880" w:hanging="360"/>
      </w:pPr>
      <w:rPr>
        <w:rFonts w:ascii="Symbol" w:hAnsi="Symbol" w:hint="default"/>
      </w:rPr>
    </w:lvl>
    <w:lvl w:ilvl="4" w:tplc="337A44B6" w:tentative="1">
      <w:start w:val="1"/>
      <w:numFmt w:val="bullet"/>
      <w:lvlText w:val="o"/>
      <w:lvlJc w:val="left"/>
      <w:pPr>
        <w:ind w:left="3600" w:hanging="360"/>
      </w:pPr>
      <w:rPr>
        <w:rFonts w:ascii="Courier New" w:hAnsi="Courier New" w:cs="Courier New" w:hint="default"/>
      </w:rPr>
    </w:lvl>
    <w:lvl w:ilvl="5" w:tplc="70F60616" w:tentative="1">
      <w:start w:val="1"/>
      <w:numFmt w:val="bullet"/>
      <w:lvlText w:val=""/>
      <w:lvlJc w:val="left"/>
      <w:pPr>
        <w:ind w:left="4320" w:hanging="360"/>
      </w:pPr>
      <w:rPr>
        <w:rFonts w:ascii="Wingdings" w:hAnsi="Wingdings" w:hint="default"/>
      </w:rPr>
    </w:lvl>
    <w:lvl w:ilvl="6" w:tplc="D00265E6" w:tentative="1">
      <w:start w:val="1"/>
      <w:numFmt w:val="bullet"/>
      <w:lvlText w:val=""/>
      <w:lvlJc w:val="left"/>
      <w:pPr>
        <w:ind w:left="5040" w:hanging="360"/>
      </w:pPr>
      <w:rPr>
        <w:rFonts w:ascii="Symbol" w:hAnsi="Symbol" w:hint="default"/>
      </w:rPr>
    </w:lvl>
    <w:lvl w:ilvl="7" w:tplc="7F821DA0" w:tentative="1">
      <w:start w:val="1"/>
      <w:numFmt w:val="bullet"/>
      <w:lvlText w:val="o"/>
      <w:lvlJc w:val="left"/>
      <w:pPr>
        <w:ind w:left="5760" w:hanging="360"/>
      </w:pPr>
      <w:rPr>
        <w:rFonts w:ascii="Courier New" w:hAnsi="Courier New" w:cs="Courier New" w:hint="default"/>
      </w:rPr>
    </w:lvl>
    <w:lvl w:ilvl="8" w:tplc="FE8CCE70" w:tentative="1">
      <w:start w:val="1"/>
      <w:numFmt w:val="bullet"/>
      <w:lvlText w:val=""/>
      <w:lvlJc w:val="left"/>
      <w:pPr>
        <w:ind w:left="6480" w:hanging="360"/>
      </w:pPr>
      <w:rPr>
        <w:rFonts w:ascii="Wingdings" w:hAnsi="Wingdings" w:hint="default"/>
      </w:rPr>
    </w:lvl>
  </w:abstractNum>
  <w:abstractNum w:abstractNumId="1" w15:restartNumberingAfterBreak="0">
    <w:nsid w:val="2A902124"/>
    <w:multiLevelType w:val="hybridMultilevel"/>
    <w:tmpl w:val="28828030"/>
    <w:lvl w:ilvl="0" w:tplc="27AA16B6">
      <w:start w:val="1"/>
      <w:numFmt w:val="bullet"/>
      <w:lvlText w:val=""/>
      <w:lvlJc w:val="left"/>
      <w:pPr>
        <w:ind w:left="720" w:hanging="360"/>
      </w:pPr>
      <w:rPr>
        <w:rFonts w:ascii="Symbol" w:hAnsi="Symbol" w:hint="default"/>
      </w:rPr>
    </w:lvl>
    <w:lvl w:ilvl="1" w:tplc="A7224FF0" w:tentative="1">
      <w:start w:val="1"/>
      <w:numFmt w:val="bullet"/>
      <w:lvlText w:val="o"/>
      <w:lvlJc w:val="left"/>
      <w:pPr>
        <w:ind w:left="1440" w:hanging="360"/>
      </w:pPr>
      <w:rPr>
        <w:rFonts w:ascii="Courier New" w:hAnsi="Courier New" w:cs="Courier New" w:hint="default"/>
      </w:rPr>
    </w:lvl>
    <w:lvl w:ilvl="2" w:tplc="0088AA40" w:tentative="1">
      <w:start w:val="1"/>
      <w:numFmt w:val="bullet"/>
      <w:lvlText w:val=""/>
      <w:lvlJc w:val="left"/>
      <w:pPr>
        <w:ind w:left="2160" w:hanging="360"/>
      </w:pPr>
      <w:rPr>
        <w:rFonts w:ascii="Wingdings" w:hAnsi="Wingdings" w:hint="default"/>
      </w:rPr>
    </w:lvl>
    <w:lvl w:ilvl="3" w:tplc="EFE4B2C2" w:tentative="1">
      <w:start w:val="1"/>
      <w:numFmt w:val="bullet"/>
      <w:lvlText w:val=""/>
      <w:lvlJc w:val="left"/>
      <w:pPr>
        <w:ind w:left="2880" w:hanging="360"/>
      </w:pPr>
      <w:rPr>
        <w:rFonts w:ascii="Symbol" w:hAnsi="Symbol" w:hint="default"/>
      </w:rPr>
    </w:lvl>
    <w:lvl w:ilvl="4" w:tplc="745E976E" w:tentative="1">
      <w:start w:val="1"/>
      <w:numFmt w:val="bullet"/>
      <w:lvlText w:val="o"/>
      <w:lvlJc w:val="left"/>
      <w:pPr>
        <w:ind w:left="3600" w:hanging="360"/>
      </w:pPr>
      <w:rPr>
        <w:rFonts w:ascii="Courier New" w:hAnsi="Courier New" w:cs="Courier New" w:hint="default"/>
      </w:rPr>
    </w:lvl>
    <w:lvl w:ilvl="5" w:tplc="EE945A90" w:tentative="1">
      <w:start w:val="1"/>
      <w:numFmt w:val="bullet"/>
      <w:lvlText w:val=""/>
      <w:lvlJc w:val="left"/>
      <w:pPr>
        <w:ind w:left="4320" w:hanging="360"/>
      </w:pPr>
      <w:rPr>
        <w:rFonts w:ascii="Wingdings" w:hAnsi="Wingdings" w:hint="default"/>
      </w:rPr>
    </w:lvl>
    <w:lvl w:ilvl="6" w:tplc="D05AA4E4" w:tentative="1">
      <w:start w:val="1"/>
      <w:numFmt w:val="bullet"/>
      <w:lvlText w:val=""/>
      <w:lvlJc w:val="left"/>
      <w:pPr>
        <w:ind w:left="5040" w:hanging="360"/>
      </w:pPr>
      <w:rPr>
        <w:rFonts w:ascii="Symbol" w:hAnsi="Symbol" w:hint="default"/>
      </w:rPr>
    </w:lvl>
    <w:lvl w:ilvl="7" w:tplc="599E5550" w:tentative="1">
      <w:start w:val="1"/>
      <w:numFmt w:val="bullet"/>
      <w:lvlText w:val="o"/>
      <w:lvlJc w:val="left"/>
      <w:pPr>
        <w:ind w:left="5760" w:hanging="360"/>
      </w:pPr>
      <w:rPr>
        <w:rFonts w:ascii="Courier New" w:hAnsi="Courier New" w:cs="Courier New" w:hint="default"/>
      </w:rPr>
    </w:lvl>
    <w:lvl w:ilvl="8" w:tplc="678E19E0" w:tentative="1">
      <w:start w:val="1"/>
      <w:numFmt w:val="bullet"/>
      <w:lvlText w:val=""/>
      <w:lvlJc w:val="left"/>
      <w:pPr>
        <w:ind w:left="6480" w:hanging="360"/>
      </w:pPr>
      <w:rPr>
        <w:rFonts w:ascii="Wingdings" w:hAnsi="Wingdings" w:hint="default"/>
      </w:rPr>
    </w:lvl>
  </w:abstractNum>
  <w:abstractNum w:abstractNumId="2" w15:restartNumberingAfterBreak="0">
    <w:nsid w:val="31140E76"/>
    <w:multiLevelType w:val="hybridMultilevel"/>
    <w:tmpl w:val="A2D8C7D2"/>
    <w:lvl w:ilvl="0" w:tplc="1E16AC0A">
      <w:start w:val="1"/>
      <w:numFmt w:val="decimal"/>
      <w:lvlText w:val="(%1)"/>
      <w:lvlJc w:val="left"/>
      <w:pPr>
        <w:ind w:left="795" w:hanging="435"/>
      </w:pPr>
      <w:rPr>
        <w:rFonts w:hint="default"/>
      </w:rPr>
    </w:lvl>
    <w:lvl w:ilvl="1" w:tplc="69D0C968" w:tentative="1">
      <w:start w:val="1"/>
      <w:numFmt w:val="lowerLetter"/>
      <w:lvlText w:val="%2."/>
      <w:lvlJc w:val="left"/>
      <w:pPr>
        <w:ind w:left="1440" w:hanging="360"/>
      </w:pPr>
    </w:lvl>
    <w:lvl w:ilvl="2" w:tplc="20D29268" w:tentative="1">
      <w:start w:val="1"/>
      <w:numFmt w:val="lowerRoman"/>
      <w:lvlText w:val="%3."/>
      <w:lvlJc w:val="right"/>
      <w:pPr>
        <w:ind w:left="2160" w:hanging="180"/>
      </w:pPr>
    </w:lvl>
    <w:lvl w:ilvl="3" w:tplc="01E612E6" w:tentative="1">
      <w:start w:val="1"/>
      <w:numFmt w:val="decimal"/>
      <w:lvlText w:val="%4."/>
      <w:lvlJc w:val="left"/>
      <w:pPr>
        <w:ind w:left="2880" w:hanging="360"/>
      </w:pPr>
    </w:lvl>
    <w:lvl w:ilvl="4" w:tplc="74A0A604" w:tentative="1">
      <w:start w:val="1"/>
      <w:numFmt w:val="lowerLetter"/>
      <w:lvlText w:val="%5."/>
      <w:lvlJc w:val="left"/>
      <w:pPr>
        <w:ind w:left="3600" w:hanging="360"/>
      </w:pPr>
    </w:lvl>
    <w:lvl w:ilvl="5" w:tplc="92928890" w:tentative="1">
      <w:start w:val="1"/>
      <w:numFmt w:val="lowerRoman"/>
      <w:lvlText w:val="%6."/>
      <w:lvlJc w:val="right"/>
      <w:pPr>
        <w:ind w:left="4320" w:hanging="180"/>
      </w:pPr>
    </w:lvl>
    <w:lvl w:ilvl="6" w:tplc="7B8E78C0" w:tentative="1">
      <w:start w:val="1"/>
      <w:numFmt w:val="decimal"/>
      <w:lvlText w:val="%7."/>
      <w:lvlJc w:val="left"/>
      <w:pPr>
        <w:ind w:left="5040" w:hanging="360"/>
      </w:pPr>
    </w:lvl>
    <w:lvl w:ilvl="7" w:tplc="BADE553A" w:tentative="1">
      <w:start w:val="1"/>
      <w:numFmt w:val="lowerLetter"/>
      <w:lvlText w:val="%8."/>
      <w:lvlJc w:val="left"/>
      <w:pPr>
        <w:ind w:left="5760" w:hanging="360"/>
      </w:pPr>
    </w:lvl>
    <w:lvl w:ilvl="8" w:tplc="ED846106" w:tentative="1">
      <w:start w:val="1"/>
      <w:numFmt w:val="lowerRoman"/>
      <w:lvlText w:val="%9."/>
      <w:lvlJc w:val="right"/>
      <w:pPr>
        <w:ind w:left="6480" w:hanging="180"/>
      </w:pPr>
    </w:lvl>
  </w:abstractNum>
  <w:abstractNum w:abstractNumId="3" w15:restartNumberingAfterBreak="0">
    <w:nsid w:val="3EB031BA"/>
    <w:multiLevelType w:val="hybridMultilevel"/>
    <w:tmpl w:val="C43AA0E8"/>
    <w:lvl w:ilvl="0" w:tplc="E79E4484">
      <w:start w:val="1"/>
      <w:numFmt w:val="decimal"/>
      <w:lvlText w:val="(%1)"/>
      <w:lvlJc w:val="left"/>
      <w:pPr>
        <w:ind w:left="758" w:hanging="398"/>
      </w:pPr>
      <w:rPr>
        <w:rFonts w:hint="default"/>
      </w:rPr>
    </w:lvl>
    <w:lvl w:ilvl="1" w:tplc="E8FEFAAC" w:tentative="1">
      <w:start w:val="1"/>
      <w:numFmt w:val="lowerLetter"/>
      <w:lvlText w:val="%2."/>
      <w:lvlJc w:val="left"/>
      <w:pPr>
        <w:ind w:left="1440" w:hanging="360"/>
      </w:pPr>
    </w:lvl>
    <w:lvl w:ilvl="2" w:tplc="531CEFE4" w:tentative="1">
      <w:start w:val="1"/>
      <w:numFmt w:val="lowerRoman"/>
      <w:lvlText w:val="%3."/>
      <w:lvlJc w:val="right"/>
      <w:pPr>
        <w:ind w:left="2160" w:hanging="180"/>
      </w:pPr>
    </w:lvl>
    <w:lvl w:ilvl="3" w:tplc="C43CB344" w:tentative="1">
      <w:start w:val="1"/>
      <w:numFmt w:val="decimal"/>
      <w:lvlText w:val="%4."/>
      <w:lvlJc w:val="left"/>
      <w:pPr>
        <w:ind w:left="2880" w:hanging="360"/>
      </w:pPr>
    </w:lvl>
    <w:lvl w:ilvl="4" w:tplc="EEF26574" w:tentative="1">
      <w:start w:val="1"/>
      <w:numFmt w:val="lowerLetter"/>
      <w:lvlText w:val="%5."/>
      <w:lvlJc w:val="left"/>
      <w:pPr>
        <w:ind w:left="3600" w:hanging="360"/>
      </w:pPr>
    </w:lvl>
    <w:lvl w:ilvl="5" w:tplc="B42215F2" w:tentative="1">
      <w:start w:val="1"/>
      <w:numFmt w:val="lowerRoman"/>
      <w:lvlText w:val="%6."/>
      <w:lvlJc w:val="right"/>
      <w:pPr>
        <w:ind w:left="4320" w:hanging="180"/>
      </w:pPr>
    </w:lvl>
    <w:lvl w:ilvl="6" w:tplc="6C16ED2C" w:tentative="1">
      <w:start w:val="1"/>
      <w:numFmt w:val="decimal"/>
      <w:lvlText w:val="%7."/>
      <w:lvlJc w:val="left"/>
      <w:pPr>
        <w:ind w:left="5040" w:hanging="360"/>
      </w:pPr>
    </w:lvl>
    <w:lvl w:ilvl="7" w:tplc="5284EC5C" w:tentative="1">
      <w:start w:val="1"/>
      <w:numFmt w:val="lowerLetter"/>
      <w:lvlText w:val="%8."/>
      <w:lvlJc w:val="left"/>
      <w:pPr>
        <w:ind w:left="5760" w:hanging="360"/>
      </w:pPr>
    </w:lvl>
    <w:lvl w:ilvl="8" w:tplc="4C1E7072" w:tentative="1">
      <w:start w:val="1"/>
      <w:numFmt w:val="lowerRoman"/>
      <w:lvlText w:val="%9."/>
      <w:lvlJc w:val="right"/>
      <w:pPr>
        <w:ind w:left="6480" w:hanging="180"/>
      </w:pPr>
    </w:lvl>
  </w:abstractNum>
  <w:abstractNum w:abstractNumId="4" w15:restartNumberingAfterBreak="0">
    <w:nsid w:val="3ED76C60"/>
    <w:multiLevelType w:val="hybridMultilevel"/>
    <w:tmpl w:val="206E9CC8"/>
    <w:lvl w:ilvl="0" w:tplc="608A2AB8">
      <w:start w:val="1"/>
      <w:numFmt w:val="decimal"/>
      <w:lvlText w:val="(%1)"/>
      <w:lvlJc w:val="left"/>
      <w:pPr>
        <w:ind w:left="825" w:hanging="465"/>
      </w:pPr>
      <w:rPr>
        <w:rFonts w:hint="default"/>
      </w:rPr>
    </w:lvl>
    <w:lvl w:ilvl="1" w:tplc="582C2770" w:tentative="1">
      <w:start w:val="1"/>
      <w:numFmt w:val="lowerLetter"/>
      <w:lvlText w:val="%2."/>
      <w:lvlJc w:val="left"/>
      <w:pPr>
        <w:ind w:left="1440" w:hanging="360"/>
      </w:pPr>
    </w:lvl>
    <w:lvl w:ilvl="2" w:tplc="569ABFD2" w:tentative="1">
      <w:start w:val="1"/>
      <w:numFmt w:val="lowerRoman"/>
      <w:lvlText w:val="%3."/>
      <w:lvlJc w:val="right"/>
      <w:pPr>
        <w:ind w:left="2160" w:hanging="180"/>
      </w:pPr>
    </w:lvl>
    <w:lvl w:ilvl="3" w:tplc="7EA27E64" w:tentative="1">
      <w:start w:val="1"/>
      <w:numFmt w:val="decimal"/>
      <w:lvlText w:val="%4."/>
      <w:lvlJc w:val="left"/>
      <w:pPr>
        <w:ind w:left="2880" w:hanging="360"/>
      </w:pPr>
    </w:lvl>
    <w:lvl w:ilvl="4" w:tplc="366EA41E" w:tentative="1">
      <w:start w:val="1"/>
      <w:numFmt w:val="lowerLetter"/>
      <w:lvlText w:val="%5."/>
      <w:lvlJc w:val="left"/>
      <w:pPr>
        <w:ind w:left="3600" w:hanging="360"/>
      </w:pPr>
    </w:lvl>
    <w:lvl w:ilvl="5" w:tplc="9D3EC1F0" w:tentative="1">
      <w:start w:val="1"/>
      <w:numFmt w:val="lowerRoman"/>
      <w:lvlText w:val="%6."/>
      <w:lvlJc w:val="right"/>
      <w:pPr>
        <w:ind w:left="4320" w:hanging="180"/>
      </w:pPr>
    </w:lvl>
    <w:lvl w:ilvl="6" w:tplc="C23AE2DA" w:tentative="1">
      <w:start w:val="1"/>
      <w:numFmt w:val="decimal"/>
      <w:lvlText w:val="%7."/>
      <w:lvlJc w:val="left"/>
      <w:pPr>
        <w:ind w:left="5040" w:hanging="360"/>
      </w:pPr>
    </w:lvl>
    <w:lvl w:ilvl="7" w:tplc="7550E006" w:tentative="1">
      <w:start w:val="1"/>
      <w:numFmt w:val="lowerLetter"/>
      <w:lvlText w:val="%8."/>
      <w:lvlJc w:val="left"/>
      <w:pPr>
        <w:ind w:left="5760" w:hanging="360"/>
      </w:pPr>
    </w:lvl>
    <w:lvl w:ilvl="8" w:tplc="D5080D6A" w:tentative="1">
      <w:start w:val="1"/>
      <w:numFmt w:val="lowerRoman"/>
      <w:lvlText w:val="%9."/>
      <w:lvlJc w:val="right"/>
      <w:pPr>
        <w:ind w:left="6480" w:hanging="180"/>
      </w:pPr>
    </w:lvl>
  </w:abstractNum>
  <w:abstractNum w:abstractNumId="5" w15:restartNumberingAfterBreak="0">
    <w:nsid w:val="4D481485"/>
    <w:multiLevelType w:val="hybridMultilevel"/>
    <w:tmpl w:val="AB881FB0"/>
    <w:lvl w:ilvl="0" w:tplc="C07E15EE">
      <w:start w:val="1"/>
      <w:numFmt w:val="bullet"/>
      <w:lvlText w:val=""/>
      <w:lvlJc w:val="left"/>
      <w:pPr>
        <w:ind w:left="720" w:hanging="360"/>
      </w:pPr>
      <w:rPr>
        <w:rFonts w:ascii="Symbol" w:hAnsi="Symbol" w:hint="default"/>
      </w:rPr>
    </w:lvl>
    <w:lvl w:ilvl="1" w:tplc="C96A9D64" w:tentative="1">
      <w:start w:val="1"/>
      <w:numFmt w:val="bullet"/>
      <w:lvlText w:val="o"/>
      <w:lvlJc w:val="left"/>
      <w:pPr>
        <w:ind w:left="1440" w:hanging="360"/>
      </w:pPr>
      <w:rPr>
        <w:rFonts w:ascii="Courier New" w:hAnsi="Courier New" w:cs="Courier New" w:hint="default"/>
      </w:rPr>
    </w:lvl>
    <w:lvl w:ilvl="2" w:tplc="6C18622C" w:tentative="1">
      <w:start w:val="1"/>
      <w:numFmt w:val="bullet"/>
      <w:lvlText w:val=""/>
      <w:lvlJc w:val="left"/>
      <w:pPr>
        <w:ind w:left="2160" w:hanging="360"/>
      </w:pPr>
      <w:rPr>
        <w:rFonts w:ascii="Wingdings" w:hAnsi="Wingdings" w:hint="default"/>
      </w:rPr>
    </w:lvl>
    <w:lvl w:ilvl="3" w:tplc="B87AB288" w:tentative="1">
      <w:start w:val="1"/>
      <w:numFmt w:val="bullet"/>
      <w:lvlText w:val=""/>
      <w:lvlJc w:val="left"/>
      <w:pPr>
        <w:ind w:left="2880" w:hanging="360"/>
      </w:pPr>
      <w:rPr>
        <w:rFonts w:ascii="Symbol" w:hAnsi="Symbol" w:hint="default"/>
      </w:rPr>
    </w:lvl>
    <w:lvl w:ilvl="4" w:tplc="AEBE3EF0" w:tentative="1">
      <w:start w:val="1"/>
      <w:numFmt w:val="bullet"/>
      <w:lvlText w:val="o"/>
      <w:lvlJc w:val="left"/>
      <w:pPr>
        <w:ind w:left="3600" w:hanging="360"/>
      </w:pPr>
      <w:rPr>
        <w:rFonts w:ascii="Courier New" w:hAnsi="Courier New" w:cs="Courier New" w:hint="default"/>
      </w:rPr>
    </w:lvl>
    <w:lvl w:ilvl="5" w:tplc="F490D626" w:tentative="1">
      <w:start w:val="1"/>
      <w:numFmt w:val="bullet"/>
      <w:lvlText w:val=""/>
      <w:lvlJc w:val="left"/>
      <w:pPr>
        <w:ind w:left="4320" w:hanging="360"/>
      </w:pPr>
      <w:rPr>
        <w:rFonts w:ascii="Wingdings" w:hAnsi="Wingdings" w:hint="default"/>
      </w:rPr>
    </w:lvl>
    <w:lvl w:ilvl="6" w:tplc="162CE4C6" w:tentative="1">
      <w:start w:val="1"/>
      <w:numFmt w:val="bullet"/>
      <w:lvlText w:val=""/>
      <w:lvlJc w:val="left"/>
      <w:pPr>
        <w:ind w:left="5040" w:hanging="360"/>
      </w:pPr>
      <w:rPr>
        <w:rFonts w:ascii="Symbol" w:hAnsi="Symbol" w:hint="default"/>
      </w:rPr>
    </w:lvl>
    <w:lvl w:ilvl="7" w:tplc="03229DB2" w:tentative="1">
      <w:start w:val="1"/>
      <w:numFmt w:val="bullet"/>
      <w:lvlText w:val="o"/>
      <w:lvlJc w:val="left"/>
      <w:pPr>
        <w:ind w:left="5760" w:hanging="360"/>
      </w:pPr>
      <w:rPr>
        <w:rFonts w:ascii="Courier New" w:hAnsi="Courier New" w:cs="Courier New" w:hint="default"/>
      </w:rPr>
    </w:lvl>
    <w:lvl w:ilvl="8" w:tplc="421A4D94" w:tentative="1">
      <w:start w:val="1"/>
      <w:numFmt w:val="bullet"/>
      <w:lvlText w:val=""/>
      <w:lvlJc w:val="left"/>
      <w:pPr>
        <w:ind w:left="6480" w:hanging="360"/>
      </w:pPr>
      <w:rPr>
        <w:rFonts w:ascii="Wingdings" w:hAnsi="Wingdings" w:hint="default"/>
      </w:rPr>
    </w:lvl>
  </w:abstractNum>
  <w:abstractNum w:abstractNumId="6" w15:restartNumberingAfterBreak="0">
    <w:nsid w:val="56EE2DD3"/>
    <w:multiLevelType w:val="hybridMultilevel"/>
    <w:tmpl w:val="53DEE6B6"/>
    <w:lvl w:ilvl="0" w:tplc="F79828BE">
      <w:start w:val="1"/>
      <w:numFmt w:val="bullet"/>
      <w:lvlText w:val=""/>
      <w:lvlJc w:val="left"/>
      <w:pPr>
        <w:ind w:left="720" w:hanging="360"/>
      </w:pPr>
      <w:rPr>
        <w:rFonts w:ascii="Symbol" w:hAnsi="Symbol" w:hint="default"/>
      </w:rPr>
    </w:lvl>
    <w:lvl w:ilvl="1" w:tplc="51DCC652" w:tentative="1">
      <w:start w:val="1"/>
      <w:numFmt w:val="bullet"/>
      <w:lvlText w:val="o"/>
      <w:lvlJc w:val="left"/>
      <w:pPr>
        <w:ind w:left="1440" w:hanging="360"/>
      </w:pPr>
      <w:rPr>
        <w:rFonts w:ascii="Courier New" w:hAnsi="Courier New" w:cs="Courier New" w:hint="default"/>
      </w:rPr>
    </w:lvl>
    <w:lvl w:ilvl="2" w:tplc="A9F225A8" w:tentative="1">
      <w:start w:val="1"/>
      <w:numFmt w:val="bullet"/>
      <w:lvlText w:val=""/>
      <w:lvlJc w:val="left"/>
      <w:pPr>
        <w:ind w:left="2160" w:hanging="360"/>
      </w:pPr>
      <w:rPr>
        <w:rFonts w:ascii="Wingdings" w:hAnsi="Wingdings" w:hint="default"/>
      </w:rPr>
    </w:lvl>
    <w:lvl w:ilvl="3" w:tplc="FE2681C0" w:tentative="1">
      <w:start w:val="1"/>
      <w:numFmt w:val="bullet"/>
      <w:lvlText w:val=""/>
      <w:lvlJc w:val="left"/>
      <w:pPr>
        <w:ind w:left="2880" w:hanging="360"/>
      </w:pPr>
      <w:rPr>
        <w:rFonts w:ascii="Symbol" w:hAnsi="Symbol" w:hint="default"/>
      </w:rPr>
    </w:lvl>
    <w:lvl w:ilvl="4" w:tplc="3E6ACA7C" w:tentative="1">
      <w:start w:val="1"/>
      <w:numFmt w:val="bullet"/>
      <w:lvlText w:val="o"/>
      <w:lvlJc w:val="left"/>
      <w:pPr>
        <w:ind w:left="3600" w:hanging="360"/>
      </w:pPr>
      <w:rPr>
        <w:rFonts w:ascii="Courier New" w:hAnsi="Courier New" w:cs="Courier New" w:hint="default"/>
      </w:rPr>
    </w:lvl>
    <w:lvl w:ilvl="5" w:tplc="882EF5E8" w:tentative="1">
      <w:start w:val="1"/>
      <w:numFmt w:val="bullet"/>
      <w:lvlText w:val=""/>
      <w:lvlJc w:val="left"/>
      <w:pPr>
        <w:ind w:left="4320" w:hanging="360"/>
      </w:pPr>
      <w:rPr>
        <w:rFonts w:ascii="Wingdings" w:hAnsi="Wingdings" w:hint="default"/>
      </w:rPr>
    </w:lvl>
    <w:lvl w:ilvl="6" w:tplc="46489002" w:tentative="1">
      <w:start w:val="1"/>
      <w:numFmt w:val="bullet"/>
      <w:lvlText w:val=""/>
      <w:lvlJc w:val="left"/>
      <w:pPr>
        <w:ind w:left="5040" w:hanging="360"/>
      </w:pPr>
      <w:rPr>
        <w:rFonts w:ascii="Symbol" w:hAnsi="Symbol" w:hint="default"/>
      </w:rPr>
    </w:lvl>
    <w:lvl w:ilvl="7" w:tplc="0B5ADB56" w:tentative="1">
      <w:start w:val="1"/>
      <w:numFmt w:val="bullet"/>
      <w:lvlText w:val="o"/>
      <w:lvlJc w:val="left"/>
      <w:pPr>
        <w:ind w:left="5760" w:hanging="360"/>
      </w:pPr>
      <w:rPr>
        <w:rFonts w:ascii="Courier New" w:hAnsi="Courier New" w:cs="Courier New" w:hint="default"/>
      </w:rPr>
    </w:lvl>
    <w:lvl w:ilvl="8" w:tplc="067E7608" w:tentative="1">
      <w:start w:val="1"/>
      <w:numFmt w:val="bullet"/>
      <w:lvlText w:val=""/>
      <w:lvlJc w:val="left"/>
      <w:pPr>
        <w:ind w:left="6480" w:hanging="360"/>
      </w:pPr>
      <w:rPr>
        <w:rFonts w:ascii="Wingdings" w:hAnsi="Wingdings" w:hint="default"/>
      </w:rPr>
    </w:lvl>
  </w:abstractNum>
  <w:abstractNum w:abstractNumId="7" w15:restartNumberingAfterBreak="0">
    <w:nsid w:val="64402983"/>
    <w:multiLevelType w:val="hybridMultilevel"/>
    <w:tmpl w:val="A0ECF6F0"/>
    <w:lvl w:ilvl="0" w:tplc="E40AF1F8">
      <w:start w:val="1"/>
      <w:numFmt w:val="decimal"/>
      <w:lvlText w:val="(%1)"/>
      <w:lvlJc w:val="left"/>
      <w:pPr>
        <w:ind w:left="885" w:hanging="525"/>
      </w:pPr>
      <w:rPr>
        <w:rFonts w:hint="default"/>
      </w:rPr>
    </w:lvl>
    <w:lvl w:ilvl="1" w:tplc="755CEF6E" w:tentative="1">
      <w:start w:val="1"/>
      <w:numFmt w:val="lowerLetter"/>
      <w:lvlText w:val="%2."/>
      <w:lvlJc w:val="left"/>
      <w:pPr>
        <w:ind w:left="1440" w:hanging="360"/>
      </w:pPr>
    </w:lvl>
    <w:lvl w:ilvl="2" w:tplc="0AFE2B28" w:tentative="1">
      <w:start w:val="1"/>
      <w:numFmt w:val="lowerRoman"/>
      <w:lvlText w:val="%3."/>
      <w:lvlJc w:val="right"/>
      <w:pPr>
        <w:ind w:left="2160" w:hanging="180"/>
      </w:pPr>
    </w:lvl>
    <w:lvl w:ilvl="3" w:tplc="F9DC383A" w:tentative="1">
      <w:start w:val="1"/>
      <w:numFmt w:val="decimal"/>
      <w:lvlText w:val="%4."/>
      <w:lvlJc w:val="left"/>
      <w:pPr>
        <w:ind w:left="2880" w:hanging="360"/>
      </w:pPr>
    </w:lvl>
    <w:lvl w:ilvl="4" w:tplc="6C268714" w:tentative="1">
      <w:start w:val="1"/>
      <w:numFmt w:val="lowerLetter"/>
      <w:lvlText w:val="%5."/>
      <w:lvlJc w:val="left"/>
      <w:pPr>
        <w:ind w:left="3600" w:hanging="360"/>
      </w:pPr>
    </w:lvl>
    <w:lvl w:ilvl="5" w:tplc="92FAF7BC" w:tentative="1">
      <w:start w:val="1"/>
      <w:numFmt w:val="lowerRoman"/>
      <w:lvlText w:val="%6."/>
      <w:lvlJc w:val="right"/>
      <w:pPr>
        <w:ind w:left="4320" w:hanging="180"/>
      </w:pPr>
    </w:lvl>
    <w:lvl w:ilvl="6" w:tplc="8EF6E8D4" w:tentative="1">
      <w:start w:val="1"/>
      <w:numFmt w:val="decimal"/>
      <w:lvlText w:val="%7."/>
      <w:lvlJc w:val="left"/>
      <w:pPr>
        <w:ind w:left="5040" w:hanging="360"/>
      </w:pPr>
    </w:lvl>
    <w:lvl w:ilvl="7" w:tplc="D28E52DA" w:tentative="1">
      <w:start w:val="1"/>
      <w:numFmt w:val="lowerLetter"/>
      <w:lvlText w:val="%8."/>
      <w:lvlJc w:val="left"/>
      <w:pPr>
        <w:ind w:left="5760" w:hanging="360"/>
      </w:pPr>
    </w:lvl>
    <w:lvl w:ilvl="8" w:tplc="FE64F252" w:tentative="1">
      <w:start w:val="1"/>
      <w:numFmt w:val="lowerRoman"/>
      <w:lvlText w:val="%9."/>
      <w:lvlJc w:val="right"/>
      <w:pPr>
        <w:ind w:left="6480" w:hanging="180"/>
      </w:pPr>
    </w:lvl>
  </w:abstractNum>
  <w:abstractNum w:abstractNumId="8" w15:restartNumberingAfterBreak="0">
    <w:nsid w:val="64887723"/>
    <w:multiLevelType w:val="hybridMultilevel"/>
    <w:tmpl w:val="A06A6928"/>
    <w:lvl w:ilvl="0" w:tplc="9E20D068">
      <w:start w:val="1"/>
      <w:numFmt w:val="bullet"/>
      <w:lvlText w:val=""/>
      <w:lvlJc w:val="left"/>
      <w:pPr>
        <w:ind w:left="720" w:hanging="360"/>
      </w:pPr>
      <w:rPr>
        <w:rFonts w:ascii="Symbol" w:hAnsi="Symbol" w:hint="default"/>
      </w:rPr>
    </w:lvl>
    <w:lvl w:ilvl="1" w:tplc="9C005020" w:tentative="1">
      <w:start w:val="1"/>
      <w:numFmt w:val="bullet"/>
      <w:lvlText w:val="o"/>
      <w:lvlJc w:val="left"/>
      <w:pPr>
        <w:ind w:left="1440" w:hanging="360"/>
      </w:pPr>
      <w:rPr>
        <w:rFonts w:ascii="Courier New" w:hAnsi="Courier New" w:cs="Courier New" w:hint="default"/>
      </w:rPr>
    </w:lvl>
    <w:lvl w:ilvl="2" w:tplc="5654312C" w:tentative="1">
      <w:start w:val="1"/>
      <w:numFmt w:val="bullet"/>
      <w:lvlText w:val=""/>
      <w:lvlJc w:val="left"/>
      <w:pPr>
        <w:ind w:left="2160" w:hanging="360"/>
      </w:pPr>
      <w:rPr>
        <w:rFonts w:ascii="Wingdings" w:hAnsi="Wingdings" w:hint="default"/>
      </w:rPr>
    </w:lvl>
    <w:lvl w:ilvl="3" w:tplc="C3CAB514" w:tentative="1">
      <w:start w:val="1"/>
      <w:numFmt w:val="bullet"/>
      <w:lvlText w:val=""/>
      <w:lvlJc w:val="left"/>
      <w:pPr>
        <w:ind w:left="2880" w:hanging="360"/>
      </w:pPr>
      <w:rPr>
        <w:rFonts w:ascii="Symbol" w:hAnsi="Symbol" w:hint="default"/>
      </w:rPr>
    </w:lvl>
    <w:lvl w:ilvl="4" w:tplc="66509A0C" w:tentative="1">
      <w:start w:val="1"/>
      <w:numFmt w:val="bullet"/>
      <w:lvlText w:val="o"/>
      <w:lvlJc w:val="left"/>
      <w:pPr>
        <w:ind w:left="3600" w:hanging="360"/>
      </w:pPr>
      <w:rPr>
        <w:rFonts w:ascii="Courier New" w:hAnsi="Courier New" w:cs="Courier New" w:hint="default"/>
      </w:rPr>
    </w:lvl>
    <w:lvl w:ilvl="5" w:tplc="470ACC06" w:tentative="1">
      <w:start w:val="1"/>
      <w:numFmt w:val="bullet"/>
      <w:lvlText w:val=""/>
      <w:lvlJc w:val="left"/>
      <w:pPr>
        <w:ind w:left="4320" w:hanging="360"/>
      </w:pPr>
      <w:rPr>
        <w:rFonts w:ascii="Wingdings" w:hAnsi="Wingdings" w:hint="default"/>
      </w:rPr>
    </w:lvl>
    <w:lvl w:ilvl="6" w:tplc="90660F80" w:tentative="1">
      <w:start w:val="1"/>
      <w:numFmt w:val="bullet"/>
      <w:lvlText w:val=""/>
      <w:lvlJc w:val="left"/>
      <w:pPr>
        <w:ind w:left="5040" w:hanging="360"/>
      </w:pPr>
      <w:rPr>
        <w:rFonts w:ascii="Symbol" w:hAnsi="Symbol" w:hint="default"/>
      </w:rPr>
    </w:lvl>
    <w:lvl w:ilvl="7" w:tplc="F7609ED2" w:tentative="1">
      <w:start w:val="1"/>
      <w:numFmt w:val="bullet"/>
      <w:lvlText w:val="o"/>
      <w:lvlJc w:val="left"/>
      <w:pPr>
        <w:ind w:left="5760" w:hanging="360"/>
      </w:pPr>
      <w:rPr>
        <w:rFonts w:ascii="Courier New" w:hAnsi="Courier New" w:cs="Courier New" w:hint="default"/>
      </w:rPr>
    </w:lvl>
    <w:lvl w:ilvl="8" w:tplc="523C628C" w:tentative="1">
      <w:start w:val="1"/>
      <w:numFmt w:val="bullet"/>
      <w:lvlText w:val=""/>
      <w:lvlJc w:val="left"/>
      <w:pPr>
        <w:ind w:left="6480" w:hanging="360"/>
      </w:pPr>
      <w:rPr>
        <w:rFonts w:ascii="Wingdings" w:hAnsi="Wingdings" w:hint="default"/>
      </w:rPr>
    </w:lvl>
  </w:abstractNum>
  <w:abstractNum w:abstractNumId="9" w15:restartNumberingAfterBreak="0">
    <w:nsid w:val="653D2357"/>
    <w:multiLevelType w:val="hybridMultilevel"/>
    <w:tmpl w:val="CF709304"/>
    <w:lvl w:ilvl="0" w:tplc="5C906C6A">
      <w:start w:val="1"/>
      <w:numFmt w:val="bullet"/>
      <w:lvlText w:val=""/>
      <w:lvlJc w:val="left"/>
      <w:pPr>
        <w:ind w:left="720" w:hanging="360"/>
      </w:pPr>
      <w:rPr>
        <w:rFonts w:ascii="Symbol" w:hAnsi="Symbol" w:hint="default"/>
      </w:rPr>
    </w:lvl>
    <w:lvl w:ilvl="1" w:tplc="9C945600" w:tentative="1">
      <w:start w:val="1"/>
      <w:numFmt w:val="bullet"/>
      <w:lvlText w:val="o"/>
      <w:lvlJc w:val="left"/>
      <w:pPr>
        <w:ind w:left="1440" w:hanging="360"/>
      </w:pPr>
      <w:rPr>
        <w:rFonts w:ascii="Courier New" w:hAnsi="Courier New" w:cs="Courier New" w:hint="default"/>
      </w:rPr>
    </w:lvl>
    <w:lvl w:ilvl="2" w:tplc="B0CE3D80" w:tentative="1">
      <w:start w:val="1"/>
      <w:numFmt w:val="bullet"/>
      <w:lvlText w:val=""/>
      <w:lvlJc w:val="left"/>
      <w:pPr>
        <w:ind w:left="2160" w:hanging="360"/>
      </w:pPr>
      <w:rPr>
        <w:rFonts w:ascii="Wingdings" w:hAnsi="Wingdings" w:hint="default"/>
      </w:rPr>
    </w:lvl>
    <w:lvl w:ilvl="3" w:tplc="C5BC7184" w:tentative="1">
      <w:start w:val="1"/>
      <w:numFmt w:val="bullet"/>
      <w:lvlText w:val=""/>
      <w:lvlJc w:val="left"/>
      <w:pPr>
        <w:ind w:left="2880" w:hanging="360"/>
      </w:pPr>
      <w:rPr>
        <w:rFonts w:ascii="Symbol" w:hAnsi="Symbol" w:hint="default"/>
      </w:rPr>
    </w:lvl>
    <w:lvl w:ilvl="4" w:tplc="3AF428C0" w:tentative="1">
      <w:start w:val="1"/>
      <w:numFmt w:val="bullet"/>
      <w:lvlText w:val="o"/>
      <w:lvlJc w:val="left"/>
      <w:pPr>
        <w:ind w:left="3600" w:hanging="360"/>
      </w:pPr>
      <w:rPr>
        <w:rFonts w:ascii="Courier New" w:hAnsi="Courier New" w:cs="Courier New" w:hint="default"/>
      </w:rPr>
    </w:lvl>
    <w:lvl w:ilvl="5" w:tplc="B2B20AA8" w:tentative="1">
      <w:start w:val="1"/>
      <w:numFmt w:val="bullet"/>
      <w:lvlText w:val=""/>
      <w:lvlJc w:val="left"/>
      <w:pPr>
        <w:ind w:left="4320" w:hanging="360"/>
      </w:pPr>
      <w:rPr>
        <w:rFonts w:ascii="Wingdings" w:hAnsi="Wingdings" w:hint="default"/>
      </w:rPr>
    </w:lvl>
    <w:lvl w:ilvl="6" w:tplc="1F0EE5E4" w:tentative="1">
      <w:start w:val="1"/>
      <w:numFmt w:val="bullet"/>
      <w:lvlText w:val=""/>
      <w:lvlJc w:val="left"/>
      <w:pPr>
        <w:ind w:left="5040" w:hanging="360"/>
      </w:pPr>
      <w:rPr>
        <w:rFonts w:ascii="Symbol" w:hAnsi="Symbol" w:hint="default"/>
      </w:rPr>
    </w:lvl>
    <w:lvl w:ilvl="7" w:tplc="F2009DBE" w:tentative="1">
      <w:start w:val="1"/>
      <w:numFmt w:val="bullet"/>
      <w:lvlText w:val="o"/>
      <w:lvlJc w:val="left"/>
      <w:pPr>
        <w:ind w:left="5760" w:hanging="360"/>
      </w:pPr>
      <w:rPr>
        <w:rFonts w:ascii="Courier New" w:hAnsi="Courier New" w:cs="Courier New" w:hint="default"/>
      </w:rPr>
    </w:lvl>
    <w:lvl w:ilvl="8" w:tplc="1F823410" w:tentative="1">
      <w:start w:val="1"/>
      <w:numFmt w:val="bullet"/>
      <w:lvlText w:val=""/>
      <w:lvlJc w:val="left"/>
      <w:pPr>
        <w:ind w:left="6480" w:hanging="360"/>
      </w:pPr>
      <w:rPr>
        <w:rFonts w:ascii="Wingdings" w:hAnsi="Wingdings" w:hint="default"/>
      </w:rPr>
    </w:lvl>
  </w:abstractNum>
  <w:abstractNum w:abstractNumId="10" w15:restartNumberingAfterBreak="0">
    <w:nsid w:val="6A7845E2"/>
    <w:multiLevelType w:val="hybridMultilevel"/>
    <w:tmpl w:val="6B46E184"/>
    <w:lvl w:ilvl="0" w:tplc="AC6C462C">
      <w:start w:val="1"/>
      <w:numFmt w:val="bullet"/>
      <w:lvlText w:val=""/>
      <w:lvlJc w:val="left"/>
      <w:pPr>
        <w:ind w:left="720" w:hanging="360"/>
      </w:pPr>
      <w:rPr>
        <w:rFonts w:ascii="Symbol" w:hAnsi="Symbol" w:hint="default"/>
      </w:rPr>
    </w:lvl>
    <w:lvl w:ilvl="1" w:tplc="76503804">
      <w:start w:val="1"/>
      <w:numFmt w:val="bullet"/>
      <w:lvlText w:val="o"/>
      <w:lvlJc w:val="left"/>
      <w:pPr>
        <w:ind w:left="1440" w:hanging="360"/>
      </w:pPr>
      <w:rPr>
        <w:rFonts w:ascii="Courier New" w:hAnsi="Courier New" w:cs="Courier New" w:hint="default"/>
      </w:rPr>
    </w:lvl>
    <w:lvl w:ilvl="2" w:tplc="59184A14" w:tentative="1">
      <w:start w:val="1"/>
      <w:numFmt w:val="bullet"/>
      <w:lvlText w:val=""/>
      <w:lvlJc w:val="left"/>
      <w:pPr>
        <w:ind w:left="2160" w:hanging="360"/>
      </w:pPr>
      <w:rPr>
        <w:rFonts w:ascii="Wingdings" w:hAnsi="Wingdings" w:hint="default"/>
      </w:rPr>
    </w:lvl>
    <w:lvl w:ilvl="3" w:tplc="4E48BA3E" w:tentative="1">
      <w:start w:val="1"/>
      <w:numFmt w:val="bullet"/>
      <w:lvlText w:val=""/>
      <w:lvlJc w:val="left"/>
      <w:pPr>
        <w:ind w:left="2880" w:hanging="360"/>
      </w:pPr>
      <w:rPr>
        <w:rFonts w:ascii="Symbol" w:hAnsi="Symbol" w:hint="default"/>
      </w:rPr>
    </w:lvl>
    <w:lvl w:ilvl="4" w:tplc="8CCAC6D6" w:tentative="1">
      <w:start w:val="1"/>
      <w:numFmt w:val="bullet"/>
      <w:lvlText w:val="o"/>
      <w:lvlJc w:val="left"/>
      <w:pPr>
        <w:ind w:left="3600" w:hanging="360"/>
      </w:pPr>
      <w:rPr>
        <w:rFonts w:ascii="Courier New" w:hAnsi="Courier New" w:cs="Courier New" w:hint="default"/>
      </w:rPr>
    </w:lvl>
    <w:lvl w:ilvl="5" w:tplc="B9B87D4A" w:tentative="1">
      <w:start w:val="1"/>
      <w:numFmt w:val="bullet"/>
      <w:lvlText w:val=""/>
      <w:lvlJc w:val="left"/>
      <w:pPr>
        <w:ind w:left="4320" w:hanging="360"/>
      </w:pPr>
      <w:rPr>
        <w:rFonts w:ascii="Wingdings" w:hAnsi="Wingdings" w:hint="default"/>
      </w:rPr>
    </w:lvl>
    <w:lvl w:ilvl="6" w:tplc="EB78E216" w:tentative="1">
      <w:start w:val="1"/>
      <w:numFmt w:val="bullet"/>
      <w:lvlText w:val=""/>
      <w:lvlJc w:val="left"/>
      <w:pPr>
        <w:ind w:left="5040" w:hanging="360"/>
      </w:pPr>
      <w:rPr>
        <w:rFonts w:ascii="Symbol" w:hAnsi="Symbol" w:hint="default"/>
      </w:rPr>
    </w:lvl>
    <w:lvl w:ilvl="7" w:tplc="F1DAD8EE" w:tentative="1">
      <w:start w:val="1"/>
      <w:numFmt w:val="bullet"/>
      <w:lvlText w:val="o"/>
      <w:lvlJc w:val="left"/>
      <w:pPr>
        <w:ind w:left="5760" w:hanging="360"/>
      </w:pPr>
      <w:rPr>
        <w:rFonts w:ascii="Courier New" w:hAnsi="Courier New" w:cs="Courier New" w:hint="default"/>
      </w:rPr>
    </w:lvl>
    <w:lvl w:ilvl="8" w:tplc="A27E58AA" w:tentative="1">
      <w:start w:val="1"/>
      <w:numFmt w:val="bullet"/>
      <w:lvlText w:val=""/>
      <w:lvlJc w:val="left"/>
      <w:pPr>
        <w:ind w:left="6480" w:hanging="360"/>
      </w:pPr>
      <w:rPr>
        <w:rFonts w:ascii="Wingdings" w:hAnsi="Wingdings" w:hint="default"/>
      </w:rPr>
    </w:lvl>
  </w:abstractNum>
  <w:abstractNum w:abstractNumId="11" w15:restartNumberingAfterBreak="0">
    <w:nsid w:val="744E212B"/>
    <w:multiLevelType w:val="hybridMultilevel"/>
    <w:tmpl w:val="01A80C78"/>
    <w:lvl w:ilvl="0" w:tplc="4CBE75FE">
      <w:start w:val="1"/>
      <w:numFmt w:val="decimal"/>
      <w:lvlText w:val="(%1)"/>
      <w:lvlJc w:val="left"/>
      <w:pPr>
        <w:ind w:left="855" w:hanging="495"/>
      </w:pPr>
      <w:rPr>
        <w:rFonts w:hint="default"/>
      </w:rPr>
    </w:lvl>
    <w:lvl w:ilvl="1" w:tplc="EEE0C88C" w:tentative="1">
      <w:start w:val="1"/>
      <w:numFmt w:val="lowerLetter"/>
      <w:lvlText w:val="%2."/>
      <w:lvlJc w:val="left"/>
      <w:pPr>
        <w:ind w:left="1440" w:hanging="360"/>
      </w:pPr>
    </w:lvl>
    <w:lvl w:ilvl="2" w:tplc="53DC90E6" w:tentative="1">
      <w:start w:val="1"/>
      <w:numFmt w:val="lowerRoman"/>
      <w:lvlText w:val="%3."/>
      <w:lvlJc w:val="right"/>
      <w:pPr>
        <w:ind w:left="2160" w:hanging="180"/>
      </w:pPr>
    </w:lvl>
    <w:lvl w:ilvl="3" w:tplc="549EA14C" w:tentative="1">
      <w:start w:val="1"/>
      <w:numFmt w:val="decimal"/>
      <w:lvlText w:val="%4."/>
      <w:lvlJc w:val="left"/>
      <w:pPr>
        <w:ind w:left="2880" w:hanging="360"/>
      </w:pPr>
    </w:lvl>
    <w:lvl w:ilvl="4" w:tplc="8A7404B8" w:tentative="1">
      <w:start w:val="1"/>
      <w:numFmt w:val="lowerLetter"/>
      <w:lvlText w:val="%5."/>
      <w:lvlJc w:val="left"/>
      <w:pPr>
        <w:ind w:left="3600" w:hanging="360"/>
      </w:pPr>
    </w:lvl>
    <w:lvl w:ilvl="5" w:tplc="5540EA02" w:tentative="1">
      <w:start w:val="1"/>
      <w:numFmt w:val="lowerRoman"/>
      <w:lvlText w:val="%6."/>
      <w:lvlJc w:val="right"/>
      <w:pPr>
        <w:ind w:left="4320" w:hanging="180"/>
      </w:pPr>
    </w:lvl>
    <w:lvl w:ilvl="6" w:tplc="F402B6C6" w:tentative="1">
      <w:start w:val="1"/>
      <w:numFmt w:val="decimal"/>
      <w:lvlText w:val="%7."/>
      <w:lvlJc w:val="left"/>
      <w:pPr>
        <w:ind w:left="5040" w:hanging="360"/>
      </w:pPr>
    </w:lvl>
    <w:lvl w:ilvl="7" w:tplc="42146248" w:tentative="1">
      <w:start w:val="1"/>
      <w:numFmt w:val="lowerLetter"/>
      <w:lvlText w:val="%8."/>
      <w:lvlJc w:val="left"/>
      <w:pPr>
        <w:ind w:left="5760" w:hanging="360"/>
      </w:pPr>
    </w:lvl>
    <w:lvl w:ilvl="8" w:tplc="B92E87DE"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3"/>
  </w:num>
  <w:num w:numId="5">
    <w:abstractNumId w:val="11"/>
  </w:num>
  <w:num w:numId="6">
    <w:abstractNumId w:val="0"/>
  </w:num>
  <w:num w:numId="7">
    <w:abstractNumId w:val="8"/>
  </w:num>
  <w:num w:numId="8">
    <w:abstractNumId w:val="7"/>
  </w:num>
  <w:num w:numId="9">
    <w:abstractNumId w:val="5"/>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0C8"/>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BC9"/>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7F9"/>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70C"/>
    <w:rsid w:val="00142F8E"/>
    <w:rsid w:val="00143C8B"/>
    <w:rsid w:val="00147530"/>
    <w:rsid w:val="0015331F"/>
    <w:rsid w:val="0015439E"/>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2D1F"/>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4A1"/>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4090"/>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334"/>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D64"/>
    <w:rsid w:val="002C3203"/>
    <w:rsid w:val="002C3B07"/>
    <w:rsid w:val="002C532B"/>
    <w:rsid w:val="002C5713"/>
    <w:rsid w:val="002C5BF1"/>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132"/>
    <w:rsid w:val="00355A98"/>
    <w:rsid w:val="00355D7E"/>
    <w:rsid w:val="00357CA1"/>
    <w:rsid w:val="00361FE9"/>
    <w:rsid w:val="003624F2"/>
    <w:rsid w:val="00363854"/>
    <w:rsid w:val="00364315"/>
    <w:rsid w:val="003643E2"/>
    <w:rsid w:val="00365861"/>
    <w:rsid w:val="00370155"/>
    <w:rsid w:val="003712D5"/>
    <w:rsid w:val="003747DF"/>
    <w:rsid w:val="00377E3D"/>
    <w:rsid w:val="003847E8"/>
    <w:rsid w:val="0038731D"/>
    <w:rsid w:val="00387B60"/>
    <w:rsid w:val="00390098"/>
    <w:rsid w:val="00392DA1"/>
    <w:rsid w:val="00393718"/>
    <w:rsid w:val="00397526"/>
    <w:rsid w:val="003A0296"/>
    <w:rsid w:val="003A10BC"/>
    <w:rsid w:val="003A4994"/>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25AA"/>
    <w:rsid w:val="00447018"/>
    <w:rsid w:val="00450561"/>
    <w:rsid w:val="00450A40"/>
    <w:rsid w:val="00451D7C"/>
    <w:rsid w:val="00452FC3"/>
    <w:rsid w:val="00455936"/>
    <w:rsid w:val="00455ACE"/>
    <w:rsid w:val="00461B69"/>
    <w:rsid w:val="00462B3D"/>
    <w:rsid w:val="004676E8"/>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460"/>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388F"/>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66E14"/>
    <w:rsid w:val="00573401"/>
    <w:rsid w:val="00576714"/>
    <w:rsid w:val="0057685A"/>
    <w:rsid w:val="005772AE"/>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E05"/>
    <w:rsid w:val="006402E7"/>
    <w:rsid w:val="00640CB6"/>
    <w:rsid w:val="00641B42"/>
    <w:rsid w:val="00645750"/>
    <w:rsid w:val="00646CED"/>
    <w:rsid w:val="00650692"/>
    <w:rsid w:val="006508D3"/>
    <w:rsid w:val="00650AFA"/>
    <w:rsid w:val="00657929"/>
    <w:rsid w:val="00662B77"/>
    <w:rsid w:val="00662D0E"/>
    <w:rsid w:val="00663265"/>
    <w:rsid w:val="0066345F"/>
    <w:rsid w:val="0066485B"/>
    <w:rsid w:val="00664AFB"/>
    <w:rsid w:val="0067036E"/>
    <w:rsid w:val="00671693"/>
    <w:rsid w:val="006757AA"/>
    <w:rsid w:val="0068127E"/>
    <w:rsid w:val="00681790"/>
    <w:rsid w:val="006823AA"/>
    <w:rsid w:val="00683099"/>
    <w:rsid w:val="00684B98"/>
    <w:rsid w:val="00685DC9"/>
    <w:rsid w:val="00687465"/>
    <w:rsid w:val="006907CF"/>
    <w:rsid w:val="00691CCF"/>
    <w:rsid w:val="00692F96"/>
    <w:rsid w:val="00693AFA"/>
    <w:rsid w:val="00695101"/>
    <w:rsid w:val="00695B9A"/>
    <w:rsid w:val="00696563"/>
    <w:rsid w:val="006979F8"/>
    <w:rsid w:val="00697BB7"/>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373"/>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6B6"/>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4FFC"/>
    <w:rsid w:val="007954C9"/>
    <w:rsid w:val="007966D4"/>
    <w:rsid w:val="00796A0A"/>
    <w:rsid w:val="0079792C"/>
    <w:rsid w:val="007A0989"/>
    <w:rsid w:val="007A331F"/>
    <w:rsid w:val="007A3844"/>
    <w:rsid w:val="007A4381"/>
    <w:rsid w:val="007A5466"/>
    <w:rsid w:val="007A7EC1"/>
    <w:rsid w:val="007B4FCA"/>
    <w:rsid w:val="007B7B85"/>
    <w:rsid w:val="007C1BEA"/>
    <w:rsid w:val="007C462E"/>
    <w:rsid w:val="007C496B"/>
    <w:rsid w:val="007C56A3"/>
    <w:rsid w:val="007C6803"/>
    <w:rsid w:val="007D2892"/>
    <w:rsid w:val="007D2DCC"/>
    <w:rsid w:val="007D47E1"/>
    <w:rsid w:val="007D632E"/>
    <w:rsid w:val="007D7FCB"/>
    <w:rsid w:val="007E33B6"/>
    <w:rsid w:val="007E59E8"/>
    <w:rsid w:val="007F18B7"/>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24C7"/>
    <w:rsid w:val="0086477C"/>
    <w:rsid w:val="00864BAD"/>
    <w:rsid w:val="008656F9"/>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A02"/>
    <w:rsid w:val="00890B59"/>
    <w:rsid w:val="008930D7"/>
    <w:rsid w:val="008947A7"/>
    <w:rsid w:val="00895686"/>
    <w:rsid w:val="00896FB7"/>
    <w:rsid w:val="00897E80"/>
    <w:rsid w:val="008A04FA"/>
    <w:rsid w:val="008A1DB6"/>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8F6216"/>
    <w:rsid w:val="00901670"/>
    <w:rsid w:val="00902212"/>
    <w:rsid w:val="00903E0A"/>
    <w:rsid w:val="00904721"/>
    <w:rsid w:val="00907780"/>
    <w:rsid w:val="00907EDD"/>
    <w:rsid w:val="009107AD"/>
    <w:rsid w:val="00915568"/>
    <w:rsid w:val="00917E0C"/>
    <w:rsid w:val="00920711"/>
    <w:rsid w:val="00921A1E"/>
    <w:rsid w:val="00922B13"/>
    <w:rsid w:val="00924EA9"/>
    <w:rsid w:val="00925CE1"/>
    <w:rsid w:val="00925F5C"/>
    <w:rsid w:val="009262C7"/>
    <w:rsid w:val="00930897"/>
    <w:rsid w:val="009320D2"/>
    <w:rsid w:val="00932C77"/>
    <w:rsid w:val="0093417F"/>
    <w:rsid w:val="00934AC2"/>
    <w:rsid w:val="009375BB"/>
    <w:rsid w:val="00937C5D"/>
    <w:rsid w:val="009418E9"/>
    <w:rsid w:val="00946044"/>
    <w:rsid w:val="009465AB"/>
    <w:rsid w:val="00946DEE"/>
    <w:rsid w:val="00953499"/>
    <w:rsid w:val="00954A16"/>
    <w:rsid w:val="0095696D"/>
    <w:rsid w:val="00962517"/>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329"/>
    <w:rsid w:val="009C1E9A"/>
    <w:rsid w:val="009C2A33"/>
    <w:rsid w:val="009C2E49"/>
    <w:rsid w:val="009C36CD"/>
    <w:rsid w:val="009C43A5"/>
    <w:rsid w:val="009C47D3"/>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4A7"/>
    <w:rsid w:val="00A1446F"/>
    <w:rsid w:val="00A151B5"/>
    <w:rsid w:val="00A16AA4"/>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26ED"/>
    <w:rsid w:val="00A5364B"/>
    <w:rsid w:val="00A54142"/>
    <w:rsid w:val="00A54C42"/>
    <w:rsid w:val="00A56AF5"/>
    <w:rsid w:val="00A572B1"/>
    <w:rsid w:val="00A577AF"/>
    <w:rsid w:val="00A60177"/>
    <w:rsid w:val="00A61348"/>
    <w:rsid w:val="00A61C27"/>
    <w:rsid w:val="00A6344D"/>
    <w:rsid w:val="00A644B8"/>
    <w:rsid w:val="00A70E35"/>
    <w:rsid w:val="00A720DC"/>
    <w:rsid w:val="00A72562"/>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1B4"/>
    <w:rsid w:val="00B626A8"/>
    <w:rsid w:val="00B65695"/>
    <w:rsid w:val="00B66526"/>
    <w:rsid w:val="00B665A3"/>
    <w:rsid w:val="00B713D4"/>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A14"/>
    <w:rsid w:val="00BE7BDA"/>
    <w:rsid w:val="00BF0548"/>
    <w:rsid w:val="00BF4949"/>
    <w:rsid w:val="00BF4D7C"/>
    <w:rsid w:val="00BF5085"/>
    <w:rsid w:val="00C013F4"/>
    <w:rsid w:val="00C040AB"/>
    <w:rsid w:val="00C0499B"/>
    <w:rsid w:val="00C05406"/>
    <w:rsid w:val="00C05BB3"/>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5D1"/>
    <w:rsid w:val="00C377D1"/>
    <w:rsid w:val="00C37BDA"/>
    <w:rsid w:val="00C37C84"/>
    <w:rsid w:val="00C42B41"/>
    <w:rsid w:val="00C44E02"/>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23C"/>
    <w:rsid w:val="00C92310"/>
    <w:rsid w:val="00C95150"/>
    <w:rsid w:val="00C95693"/>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654F"/>
    <w:rsid w:val="00D22160"/>
    <w:rsid w:val="00D22172"/>
    <w:rsid w:val="00D2301B"/>
    <w:rsid w:val="00D239EE"/>
    <w:rsid w:val="00D30534"/>
    <w:rsid w:val="00D309D5"/>
    <w:rsid w:val="00D35728"/>
    <w:rsid w:val="00D364C5"/>
    <w:rsid w:val="00D37BCF"/>
    <w:rsid w:val="00D40F93"/>
    <w:rsid w:val="00D42277"/>
    <w:rsid w:val="00D43C59"/>
    <w:rsid w:val="00D44ADE"/>
    <w:rsid w:val="00D44BF8"/>
    <w:rsid w:val="00D50D65"/>
    <w:rsid w:val="00D512E0"/>
    <w:rsid w:val="00D519F3"/>
    <w:rsid w:val="00D51D2A"/>
    <w:rsid w:val="00D53B7C"/>
    <w:rsid w:val="00D55F52"/>
    <w:rsid w:val="00D56508"/>
    <w:rsid w:val="00D6131A"/>
    <w:rsid w:val="00D61611"/>
    <w:rsid w:val="00D61784"/>
    <w:rsid w:val="00D6178A"/>
    <w:rsid w:val="00D63B53"/>
    <w:rsid w:val="00D64B62"/>
    <w:rsid w:val="00D64B88"/>
    <w:rsid w:val="00D64DC5"/>
    <w:rsid w:val="00D66BA6"/>
    <w:rsid w:val="00D700B1"/>
    <w:rsid w:val="00D730FA"/>
    <w:rsid w:val="00D76631"/>
    <w:rsid w:val="00D768B7"/>
    <w:rsid w:val="00D77492"/>
    <w:rsid w:val="00D811E8"/>
    <w:rsid w:val="00D81A44"/>
    <w:rsid w:val="00D83072"/>
    <w:rsid w:val="00D83ABC"/>
    <w:rsid w:val="00D84870"/>
    <w:rsid w:val="00D90C96"/>
    <w:rsid w:val="00D91B92"/>
    <w:rsid w:val="00D926B3"/>
    <w:rsid w:val="00D92F63"/>
    <w:rsid w:val="00D947B6"/>
    <w:rsid w:val="00D94C2B"/>
    <w:rsid w:val="00D97E00"/>
    <w:rsid w:val="00DA00BC"/>
    <w:rsid w:val="00DA0E22"/>
    <w:rsid w:val="00DA1EFA"/>
    <w:rsid w:val="00DA25E7"/>
    <w:rsid w:val="00DA3687"/>
    <w:rsid w:val="00DA39F2"/>
    <w:rsid w:val="00DA564B"/>
    <w:rsid w:val="00DA6A5C"/>
    <w:rsid w:val="00DB2D05"/>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02F5"/>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0437"/>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5253"/>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6E81"/>
    <w:rsid w:val="00EC02A2"/>
    <w:rsid w:val="00EC379B"/>
    <w:rsid w:val="00EC37DF"/>
    <w:rsid w:val="00EC41B1"/>
    <w:rsid w:val="00ED0665"/>
    <w:rsid w:val="00ED12C0"/>
    <w:rsid w:val="00ED19F0"/>
    <w:rsid w:val="00ED2B50"/>
    <w:rsid w:val="00ED3A32"/>
    <w:rsid w:val="00ED3BDE"/>
    <w:rsid w:val="00ED68FB"/>
    <w:rsid w:val="00ED783A"/>
    <w:rsid w:val="00EE1E21"/>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02A4"/>
    <w:rsid w:val="00F31876"/>
    <w:rsid w:val="00F31C67"/>
    <w:rsid w:val="00F36FE0"/>
    <w:rsid w:val="00F3725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2827"/>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DEE4C7-F1E2-4C57-8C8C-94AD3DA1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364C5"/>
    <w:rPr>
      <w:sz w:val="16"/>
      <w:szCs w:val="16"/>
    </w:rPr>
  </w:style>
  <w:style w:type="paragraph" w:styleId="CommentText">
    <w:name w:val="annotation text"/>
    <w:basedOn w:val="Normal"/>
    <w:link w:val="CommentTextChar"/>
    <w:semiHidden/>
    <w:unhideWhenUsed/>
    <w:rsid w:val="00D364C5"/>
    <w:rPr>
      <w:sz w:val="20"/>
      <w:szCs w:val="20"/>
    </w:rPr>
  </w:style>
  <w:style w:type="character" w:customStyle="1" w:styleId="CommentTextChar">
    <w:name w:val="Comment Text Char"/>
    <w:basedOn w:val="DefaultParagraphFont"/>
    <w:link w:val="CommentText"/>
    <w:semiHidden/>
    <w:rsid w:val="00D364C5"/>
  </w:style>
  <w:style w:type="paragraph" w:styleId="CommentSubject">
    <w:name w:val="annotation subject"/>
    <w:basedOn w:val="CommentText"/>
    <w:next w:val="CommentText"/>
    <w:link w:val="CommentSubjectChar"/>
    <w:semiHidden/>
    <w:unhideWhenUsed/>
    <w:rsid w:val="00D364C5"/>
    <w:rPr>
      <w:b/>
      <w:bCs/>
    </w:rPr>
  </w:style>
  <w:style w:type="character" w:customStyle="1" w:styleId="CommentSubjectChar">
    <w:name w:val="Comment Subject Char"/>
    <w:basedOn w:val="CommentTextChar"/>
    <w:link w:val="CommentSubject"/>
    <w:semiHidden/>
    <w:rsid w:val="00D364C5"/>
    <w:rPr>
      <w:b/>
      <w:bCs/>
    </w:rPr>
  </w:style>
  <w:style w:type="character" w:styleId="Hyperlink">
    <w:name w:val="Hyperlink"/>
    <w:basedOn w:val="DefaultParagraphFont"/>
    <w:unhideWhenUsed/>
    <w:rsid w:val="006E2373"/>
    <w:rPr>
      <w:color w:val="0000FF" w:themeColor="hyperlink"/>
      <w:u w:val="single"/>
    </w:rPr>
  </w:style>
  <w:style w:type="character" w:styleId="FollowedHyperlink">
    <w:name w:val="FollowedHyperlink"/>
    <w:basedOn w:val="DefaultParagraphFont"/>
    <w:semiHidden/>
    <w:unhideWhenUsed/>
    <w:rsid w:val="00F92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1528</Words>
  <Characters>8403</Characters>
  <Application>Microsoft Office Word</Application>
  <DocSecurity>4</DocSecurity>
  <Lines>166</Lines>
  <Paragraphs>58</Paragraphs>
  <ScaleCrop>false</ScaleCrop>
  <HeadingPairs>
    <vt:vector size="2" baseType="variant">
      <vt:variant>
        <vt:lpstr>Title</vt:lpstr>
      </vt:variant>
      <vt:variant>
        <vt:i4>1</vt:i4>
      </vt:variant>
    </vt:vector>
  </HeadingPairs>
  <TitlesOfParts>
    <vt:vector size="1" baseType="lpstr">
      <vt:lpstr>BA - HB01520 (Committee Report (Substituted))</vt:lpstr>
    </vt:vector>
  </TitlesOfParts>
  <Company>State of Texas</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17153</dc:subject>
  <dc:creator>State of Texas</dc:creator>
  <dc:description>HB 1520 by Paddie-(H)Energy Resources (Substitute Document Number: 87R 16129)</dc:description>
  <cp:lastModifiedBy>Emma Bodisch</cp:lastModifiedBy>
  <cp:revision>2</cp:revision>
  <cp:lastPrinted>2003-11-26T17:21:00Z</cp:lastPrinted>
  <dcterms:created xsi:type="dcterms:W3CDTF">2021-04-13T22:06:00Z</dcterms:created>
  <dcterms:modified xsi:type="dcterms:W3CDTF">2021-04-13T22:06:00Z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21.86.94</vt:lpwstr>
  </property>
</Properties>
</file>