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A07A0" w14:paraId="644835D5" w14:textId="77777777" w:rsidTr="00345119">
        <w:tc>
          <w:tcPr>
            <w:tcW w:w="9576" w:type="dxa"/>
            <w:noWrap/>
          </w:tcPr>
          <w:p w14:paraId="7CCD1FC1" w14:textId="77777777" w:rsidR="008423E4" w:rsidRPr="0022177D" w:rsidRDefault="00BB7AF1" w:rsidP="00930AD9">
            <w:pPr>
              <w:pStyle w:val="Heading1"/>
            </w:pPr>
            <w:bookmarkStart w:id="0" w:name="_GoBack"/>
            <w:bookmarkEnd w:id="0"/>
            <w:r w:rsidRPr="00631897">
              <w:t>BILL ANALYSIS</w:t>
            </w:r>
          </w:p>
        </w:tc>
      </w:tr>
    </w:tbl>
    <w:p w14:paraId="41461CFF" w14:textId="77777777" w:rsidR="008423E4" w:rsidRPr="0022177D" w:rsidRDefault="008423E4" w:rsidP="00930AD9">
      <w:pPr>
        <w:jc w:val="center"/>
      </w:pPr>
    </w:p>
    <w:p w14:paraId="39D33CB4" w14:textId="77777777" w:rsidR="008423E4" w:rsidRPr="00B31F0E" w:rsidRDefault="008423E4" w:rsidP="00930AD9"/>
    <w:p w14:paraId="77CC859A" w14:textId="77777777" w:rsidR="008423E4" w:rsidRPr="00742794" w:rsidRDefault="008423E4" w:rsidP="00930AD9">
      <w:pPr>
        <w:tabs>
          <w:tab w:val="right" w:pos="9360"/>
        </w:tabs>
      </w:pPr>
    </w:p>
    <w:tbl>
      <w:tblPr>
        <w:tblW w:w="0" w:type="auto"/>
        <w:tblLayout w:type="fixed"/>
        <w:tblLook w:val="01E0" w:firstRow="1" w:lastRow="1" w:firstColumn="1" w:lastColumn="1" w:noHBand="0" w:noVBand="0"/>
      </w:tblPr>
      <w:tblGrid>
        <w:gridCol w:w="9576"/>
      </w:tblGrid>
      <w:tr w:rsidR="005A07A0" w14:paraId="18FFAA98" w14:textId="77777777" w:rsidTr="00345119">
        <w:tc>
          <w:tcPr>
            <w:tcW w:w="9576" w:type="dxa"/>
          </w:tcPr>
          <w:p w14:paraId="7C2E5855" w14:textId="0D65B4FB" w:rsidR="008423E4" w:rsidRPr="00861995" w:rsidRDefault="00BB7AF1" w:rsidP="00930AD9">
            <w:pPr>
              <w:jc w:val="right"/>
            </w:pPr>
            <w:r>
              <w:t>C.S.H.B. 1530</w:t>
            </w:r>
          </w:p>
        </w:tc>
      </w:tr>
      <w:tr w:rsidR="005A07A0" w14:paraId="74763289" w14:textId="77777777" w:rsidTr="00345119">
        <w:tc>
          <w:tcPr>
            <w:tcW w:w="9576" w:type="dxa"/>
          </w:tcPr>
          <w:p w14:paraId="23404A7C" w14:textId="200E63D4" w:rsidR="008423E4" w:rsidRPr="00861995" w:rsidRDefault="00BB7AF1" w:rsidP="009F6FAE">
            <w:pPr>
              <w:jc w:val="right"/>
            </w:pPr>
            <w:r>
              <w:t xml:space="preserve">By: </w:t>
            </w:r>
            <w:r w:rsidR="009F6FAE">
              <w:t>Murphy</w:t>
            </w:r>
          </w:p>
        </w:tc>
      </w:tr>
      <w:tr w:rsidR="005A07A0" w14:paraId="73692075" w14:textId="77777777" w:rsidTr="00345119">
        <w:tc>
          <w:tcPr>
            <w:tcW w:w="9576" w:type="dxa"/>
          </w:tcPr>
          <w:p w14:paraId="757DBA83" w14:textId="0ED7C375" w:rsidR="008423E4" w:rsidRPr="00861995" w:rsidRDefault="00BB7AF1" w:rsidP="00930AD9">
            <w:pPr>
              <w:jc w:val="right"/>
            </w:pPr>
            <w:r>
              <w:t>Higher Education</w:t>
            </w:r>
          </w:p>
        </w:tc>
      </w:tr>
      <w:tr w:rsidR="005A07A0" w14:paraId="172C3E6B" w14:textId="77777777" w:rsidTr="00345119">
        <w:tc>
          <w:tcPr>
            <w:tcW w:w="9576" w:type="dxa"/>
          </w:tcPr>
          <w:p w14:paraId="230F25DC" w14:textId="080D2820" w:rsidR="008423E4" w:rsidRDefault="00BB7AF1" w:rsidP="00930AD9">
            <w:pPr>
              <w:jc w:val="right"/>
            </w:pPr>
            <w:r>
              <w:t>Committee Report (Substituted)</w:t>
            </w:r>
          </w:p>
        </w:tc>
      </w:tr>
    </w:tbl>
    <w:p w14:paraId="17634C04" w14:textId="77777777" w:rsidR="008423E4" w:rsidRDefault="008423E4" w:rsidP="00930AD9">
      <w:pPr>
        <w:tabs>
          <w:tab w:val="right" w:pos="9360"/>
        </w:tabs>
      </w:pPr>
    </w:p>
    <w:p w14:paraId="5767F152" w14:textId="77777777" w:rsidR="008423E4" w:rsidRDefault="008423E4" w:rsidP="00930AD9"/>
    <w:p w14:paraId="49A1B5A6" w14:textId="77777777" w:rsidR="008423E4" w:rsidRDefault="008423E4" w:rsidP="00930AD9"/>
    <w:tbl>
      <w:tblPr>
        <w:tblW w:w="0" w:type="auto"/>
        <w:tblCellMar>
          <w:left w:w="115" w:type="dxa"/>
          <w:right w:w="115" w:type="dxa"/>
        </w:tblCellMar>
        <w:tblLook w:val="01E0" w:firstRow="1" w:lastRow="1" w:firstColumn="1" w:lastColumn="1" w:noHBand="0" w:noVBand="0"/>
      </w:tblPr>
      <w:tblGrid>
        <w:gridCol w:w="9360"/>
      </w:tblGrid>
      <w:tr w:rsidR="005A07A0" w14:paraId="26F438CA" w14:textId="77777777" w:rsidTr="003F72EB">
        <w:tc>
          <w:tcPr>
            <w:tcW w:w="9360" w:type="dxa"/>
          </w:tcPr>
          <w:p w14:paraId="5BC2797E" w14:textId="77777777" w:rsidR="008423E4" w:rsidRPr="00A8133F" w:rsidRDefault="00BB7AF1" w:rsidP="00930AD9">
            <w:pPr>
              <w:rPr>
                <w:b/>
              </w:rPr>
            </w:pPr>
            <w:r w:rsidRPr="009C1E9A">
              <w:rPr>
                <w:b/>
                <w:u w:val="single"/>
              </w:rPr>
              <w:t>BACKGROUND AND PURPOSE</w:t>
            </w:r>
            <w:r>
              <w:rPr>
                <w:b/>
              </w:rPr>
              <w:t xml:space="preserve"> </w:t>
            </w:r>
          </w:p>
          <w:p w14:paraId="4EBBCEF5" w14:textId="77777777" w:rsidR="008423E4" w:rsidRDefault="008423E4" w:rsidP="00930AD9"/>
          <w:p w14:paraId="15FF7455" w14:textId="0992C27E" w:rsidR="008423E4" w:rsidRDefault="00BB7AF1" w:rsidP="00930AD9">
            <w:pPr>
              <w:pStyle w:val="Header"/>
              <w:tabs>
                <w:tab w:val="clear" w:pos="4320"/>
                <w:tab w:val="clear" w:pos="8640"/>
              </w:tabs>
              <w:jc w:val="both"/>
            </w:pPr>
            <w:r>
              <w:t xml:space="preserve">There have been calls to provide university systems in Texas with greater flexibility to undertake capital projects on the campuses </w:t>
            </w:r>
            <w:r>
              <w:t>of their institutions. It has been noted that providing these systems the authority to acquire and improve certain facilities for projects to be financed through the issuance of bonds and system</w:t>
            </w:r>
            <w:r w:rsidR="00F51290">
              <w:t>-</w:t>
            </w:r>
            <w:r>
              <w:t>wide revenue financing program</w:t>
            </w:r>
            <w:r w:rsidR="00F51290">
              <w:t>s</w:t>
            </w:r>
            <w:r>
              <w:t xml:space="preserve"> would help offer the flexibil</w:t>
            </w:r>
            <w:r>
              <w:t xml:space="preserve">ity needed to build new facilities, update existing </w:t>
            </w:r>
            <w:r w:rsidR="00F51290">
              <w:t>projects</w:t>
            </w:r>
            <w:r>
              <w:t>, and ensure</w:t>
            </w:r>
            <w:r w:rsidR="00F51290">
              <w:t xml:space="preserve"> Texas is on track to meet the</w:t>
            </w:r>
            <w:r>
              <w:t xml:space="preserve"> </w:t>
            </w:r>
            <w:r w:rsidR="00F51290">
              <w:t>higher education needs of its students. C.S.H.B. 1530 seeks to address this issue by providing for the issuance of revenue bonds to fund capital projects at public in</w:t>
            </w:r>
            <w:r w:rsidR="003F72EB">
              <w:t>s</w:t>
            </w:r>
            <w:r w:rsidR="00F51290">
              <w:t>t</w:t>
            </w:r>
            <w:r w:rsidR="003F72EB">
              <w:t>it</w:t>
            </w:r>
            <w:r w:rsidR="00F51290">
              <w:t>utions of higher education in Texas</w:t>
            </w:r>
            <w:r w:rsidR="002824CD" w:rsidRPr="002824CD">
              <w:t>.</w:t>
            </w:r>
          </w:p>
          <w:p w14:paraId="041EA6DE" w14:textId="77777777" w:rsidR="008423E4" w:rsidRPr="00E26B13" w:rsidRDefault="008423E4" w:rsidP="00930AD9">
            <w:pPr>
              <w:rPr>
                <w:b/>
              </w:rPr>
            </w:pPr>
          </w:p>
        </w:tc>
      </w:tr>
      <w:tr w:rsidR="005A07A0" w14:paraId="4717F7B8" w14:textId="77777777" w:rsidTr="003F72EB">
        <w:tc>
          <w:tcPr>
            <w:tcW w:w="9360" w:type="dxa"/>
          </w:tcPr>
          <w:p w14:paraId="02336252" w14:textId="77777777" w:rsidR="0017725B" w:rsidRDefault="00BB7AF1" w:rsidP="00930AD9">
            <w:pPr>
              <w:rPr>
                <w:b/>
                <w:u w:val="single"/>
              </w:rPr>
            </w:pPr>
            <w:r>
              <w:rPr>
                <w:b/>
                <w:u w:val="single"/>
              </w:rPr>
              <w:t>CRIMINAL JUSTICE IMPACT</w:t>
            </w:r>
          </w:p>
          <w:p w14:paraId="084F9B77" w14:textId="77777777" w:rsidR="0017725B" w:rsidRDefault="0017725B" w:rsidP="00930AD9">
            <w:pPr>
              <w:rPr>
                <w:b/>
                <w:u w:val="single"/>
              </w:rPr>
            </w:pPr>
          </w:p>
          <w:p w14:paraId="710BD622" w14:textId="77777777" w:rsidR="00C96EF9" w:rsidRPr="00C96EF9" w:rsidRDefault="00BB7AF1" w:rsidP="00930AD9">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14:paraId="6E22C622" w14:textId="77777777" w:rsidR="0017725B" w:rsidRPr="0017725B" w:rsidRDefault="0017725B" w:rsidP="00930AD9">
            <w:pPr>
              <w:rPr>
                <w:b/>
                <w:u w:val="single"/>
              </w:rPr>
            </w:pPr>
          </w:p>
        </w:tc>
      </w:tr>
      <w:tr w:rsidR="005A07A0" w14:paraId="5D776682" w14:textId="77777777" w:rsidTr="003F72EB">
        <w:tc>
          <w:tcPr>
            <w:tcW w:w="9360" w:type="dxa"/>
          </w:tcPr>
          <w:p w14:paraId="7D8720F0" w14:textId="77777777" w:rsidR="008423E4" w:rsidRPr="00A8133F" w:rsidRDefault="00BB7AF1" w:rsidP="00930AD9">
            <w:pPr>
              <w:rPr>
                <w:b/>
              </w:rPr>
            </w:pPr>
            <w:r w:rsidRPr="009C1E9A">
              <w:rPr>
                <w:b/>
                <w:u w:val="single"/>
              </w:rPr>
              <w:t>RULEMAKING AUTHORITY</w:t>
            </w:r>
            <w:r>
              <w:rPr>
                <w:b/>
              </w:rPr>
              <w:t xml:space="preserve"> </w:t>
            </w:r>
          </w:p>
          <w:p w14:paraId="440781E3" w14:textId="77777777" w:rsidR="008423E4" w:rsidRDefault="008423E4" w:rsidP="00930AD9"/>
          <w:p w14:paraId="6F0EAE1D" w14:textId="77777777" w:rsidR="00C96EF9" w:rsidRDefault="00BB7AF1" w:rsidP="00930AD9">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14:paraId="213A87C5" w14:textId="77777777" w:rsidR="008423E4" w:rsidRPr="00E21FDC" w:rsidRDefault="008423E4" w:rsidP="00930AD9">
            <w:pPr>
              <w:rPr>
                <w:b/>
              </w:rPr>
            </w:pPr>
          </w:p>
        </w:tc>
      </w:tr>
      <w:tr w:rsidR="005A07A0" w14:paraId="03279B6C" w14:textId="77777777" w:rsidTr="003F72EB">
        <w:tc>
          <w:tcPr>
            <w:tcW w:w="9360" w:type="dxa"/>
          </w:tcPr>
          <w:p w14:paraId="48A4702E" w14:textId="77777777" w:rsidR="008423E4" w:rsidRPr="00A8133F" w:rsidRDefault="00BB7AF1" w:rsidP="00930AD9">
            <w:pPr>
              <w:rPr>
                <w:b/>
              </w:rPr>
            </w:pPr>
            <w:r w:rsidRPr="009C1E9A">
              <w:rPr>
                <w:b/>
                <w:u w:val="single"/>
              </w:rPr>
              <w:t>ANALYSIS</w:t>
            </w:r>
            <w:r>
              <w:rPr>
                <w:b/>
              </w:rPr>
              <w:t xml:space="preserve"> </w:t>
            </w:r>
          </w:p>
          <w:p w14:paraId="67705E37" w14:textId="77777777" w:rsidR="008423E4" w:rsidRDefault="008423E4" w:rsidP="00930AD9"/>
          <w:p w14:paraId="5CDB4516" w14:textId="60DCF8E2" w:rsidR="00E50E8D" w:rsidRDefault="00BB7AF1" w:rsidP="00930AD9">
            <w:pPr>
              <w:pStyle w:val="Header"/>
              <w:tabs>
                <w:tab w:val="clear" w:pos="4320"/>
                <w:tab w:val="clear" w:pos="8640"/>
              </w:tabs>
              <w:jc w:val="both"/>
            </w:pPr>
            <w:r>
              <w:t>C.S.H.B. 1530 amends the Education Code to authorize the boards</w:t>
            </w:r>
            <w:r>
              <w:t xml:space="preserve"> of regents of the following public institutions of higher education to acquire, purchase, construct, improve, renovate, enlarge, or equip property and facilities for specified capital projects to be financed through the issuance of bonds and the instituti</w:t>
            </w:r>
            <w:r>
              <w:t>on's system</w:t>
            </w:r>
            <w:r w:rsidR="00F51290">
              <w:t>-</w:t>
            </w:r>
            <w:r>
              <w:t>wide revenue financing program, if applicable:</w:t>
            </w:r>
          </w:p>
          <w:p w14:paraId="62F6466A" w14:textId="4025402D" w:rsidR="00E50E8D" w:rsidRDefault="00BB7AF1" w:rsidP="00930AD9">
            <w:pPr>
              <w:pStyle w:val="Header"/>
              <w:numPr>
                <w:ilvl w:val="0"/>
                <w:numId w:val="2"/>
              </w:numPr>
              <w:tabs>
                <w:tab w:val="clear" w:pos="4320"/>
                <w:tab w:val="clear" w:pos="8640"/>
              </w:tabs>
              <w:jc w:val="both"/>
            </w:pPr>
            <w:r>
              <w:t>The Texas A&amp;M University System</w:t>
            </w:r>
            <w:r w:rsidR="0087686E">
              <w:t>, excluding Texas A&amp;M University--Central Texas, Texas A&amp;M International University, Texas A&amp;M University--Texarkana, and West Texas A&amp;M University</w:t>
            </w:r>
            <w:r>
              <w:t xml:space="preserve">; </w:t>
            </w:r>
          </w:p>
          <w:p w14:paraId="1CF84027" w14:textId="77777777" w:rsidR="00E50E8D" w:rsidRDefault="00BB7AF1" w:rsidP="00930AD9">
            <w:pPr>
              <w:pStyle w:val="Header"/>
              <w:numPr>
                <w:ilvl w:val="0"/>
                <w:numId w:val="2"/>
              </w:numPr>
              <w:tabs>
                <w:tab w:val="clear" w:pos="4320"/>
                <w:tab w:val="clear" w:pos="8640"/>
              </w:tabs>
              <w:jc w:val="both"/>
            </w:pPr>
            <w:r>
              <w:t>The University o</w:t>
            </w:r>
            <w:r>
              <w:t xml:space="preserve">f Texas System; </w:t>
            </w:r>
          </w:p>
          <w:p w14:paraId="7AC1E45E" w14:textId="7087A0EC" w:rsidR="00E50E8D" w:rsidRDefault="00BB7AF1" w:rsidP="00930AD9">
            <w:pPr>
              <w:pStyle w:val="Header"/>
              <w:numPr>
                <w:ilvl w:val="0"/>
                <w:numId w:val="2"/>
              </w:numPr>
              <w:tabs>
                <w:tab w:val="clear" w:pos="4320"/>
                <w:tab w:val="clear" w:pos="8640"/>
              </w:tabs>
              <w:jc w:val="both"/>
            </w:pPr>
            <w:r>
              <w:t>the University of Houston System</w:t>
            </w:r>
            <w:r w:rsidR="00AC6A39">
              <w:t>, excluding the University of Houston--Victoria</w:t>
            </w:r>
            <w:r>
              <w:t xml:space="preserve">; </w:t>
            </w:r>
          </w:p>
          <w:p w14:paraId="7B62DFEF" w14:textId="74335EDA" w:rsidR="00E50E8D" w:rsidRDefault="00BB7AF1" w:rsidP="00930AD9">
            <w:pPr>
              <w:pStyle w:val="Header"/>
              <w:numPr>
                <w:ilvl w:val="0"/>
                <w:numId w:val="2"/>
              </w:numPr>
              <w:tabs>
                <w:tab w:val="clear" w:pos="4320"/>
                <w:tab w:val="clear" w:pos="8640"/>
              </w:tabs>
              <w:jc w:val="both"/>
            </w:pPr>
            <w:r>
              <w:t>the Texas State University System</w:t>
            </w:r>
            <w:r w:rsidR="00AC6A39">
              <w:t>, excluding Lamar University, Sul Ross State University, and Sul Ross State University Rio Grande College</w:t>
            </w:r>
            <w:r>
              <w:t xml:space="preserve">; </w:t>
            </w:r>
          </w:p>
          <w:p w14:paraId="1B35C259" w14:textId="77777777" w:rsidR="00E50E8D" w:rsidRDefault="00BB7AF1" w:rsidP="00930AD9">
            <w:pPr>
              <w:pStyle w:val="Header"/>
              <w:numPr>
                <w:ilvl w:val="0"/>
                <w:numId w:val="2"/>
              </w:numPr>
              <w:tabs>
                <w:tab w:val="clear" w:pos="4320"/>
                <w:tab w:val="clear" w:pos="8640"/>
              </w:tabs>
              <w:jc w:val="both"/>
            </w:pPr>
            <w:r>
              <w:t>the University o</w:t>
            </w:r>
            <w:r>
              <w:t xml:space="preserve">f North Texas System; </w:t>
            </w:r>
          </w:p>
          <w:p w14:paraId="786D80CF" w14:textId="77777777" w:rsidR="00E50E8D" w:rsidRDefault="00BB7AF1" w:rsidP="00930AD9">
            <w:pPr>
              <w:pStyle w:val="Header"/>
              <w:numPr>
                <w:ilvl w:val="0"/>
                <w:numId w:val="2"/>
              </w:numPr>
              <w:tabs>
                <w:tab w:val="clear" w:pos="4320"/>
                <w:tab w:val="clear" w:pos="8640"/>
              </w:tabs>
              <w:jc w:val="both"/>
            </w:pPr>
            <w:r>
              <w:t xml:space="preserve">Texas Woman's University; </w:t>
            </w:r>
          </w:p>
          <w:p w14:paraId="1BF3730C" w14:textId="77777777" w:rsidR="00E50E8D" w:rsidRDefault="00BB7AF1" w:rsidP="00930AD9">
            <w:pPr>
              <w:pStyle w:val="Header"/>
              <w:numPr>
                <w:ilvl w:val="0"/>
                <w:numId w:val="2"/>
              </w:numPr>
              <w:tabs>
                <w:tab w:val="clear" w:pos="4320"/>
                <w:tab w:val="clear" w:pos="8640"/>
              </w:tabs>
              <w:jc w:val="both"/>
            </w:pPr>
            <w:r>
              <w:t xml:space="preserve">Midwestern State University; </w:t>
            </w:r>
          </w:p>
          <w:p w14:paraId="659151EC" w14:textId="77777777" w:rsidR="00E50E8D" w:rsidRDefault="00BB7AF1" w:rsidP="00930AD9">
            <w:pPr>
              <w:pStyle w:val="Header"/>
              <w:numPr>
                <w:ilvl w:val="0"/>
                <w:numId w:val="2"/>
              </w:numPr>
              <w:tabs>
                <w:tab w:val="clear" w:pos="4320"/>
                <w:tab w:val="clear" w:pos="8640"/>
              </w:tabs>
              <w:jc w:val="both"/>
            </w:pPr>
            <w:r>
              <w:t xml:space="preserve">Stephen F. Austin State University; </w:t>
            </w:r>
          </w:p>
          <w:p w14:paraId="1300BE47" w14:textId="77777777" w:rsidR="00E50E8D" w:rsidRDefault="00BB7AF1" w:rsidP="00930AD9">
            <w:pPr>
              <w:pStyle w:val="Header"/>
              <w:numPr>
                <w:ilvl w:val="0"/>
                <w:numId w:val="2"/>
              </w:numPr>
              <w:tabs>
                <w:tab w:val="clear" w:pos="4320"/>
                <w:tab w:val="clear" w:pos="8640"/>
              </w:tabs>
              <w:jc w:val="both"/>
            </w:pPr>
            <w:r>
              <w:t xml:space="preserve">the Texas Tech University System; </w:t>
            </w:r>
          </w:p>
          <w:p w14:paraId="1E9060B8" w14:textId="77777777" w:rsidR="00E50E8D" w:rsidRDefault="00BB7AF1" w:rsidP="00930AD9">
            <w:pPr>
              <w:pStyle w:val="Header"/>
              <w:numPr>
                <w:ilvl w:val="0"/>
                <w:numId w:val="2"/>
              </w:numPr>
              <w:tabs>
                <w:tab w:val="clear" w:pos="4320"/>
                <w:tab w:val="clear" w:pos="8640"/>
              </w:tabs>
              <w:jc w:val="both"/>
            </w:pPr>
            <w:r>
              <w:t xml:space="preserve">Texas Southern University; and </w:t>
            </w:r>
          </w:p>
          <w:p w14:paraId="23DB2BCB" w14:textId="25E3BB0E" w:rsidR="00793234" w:rsidRDefault="00BB7AF1" w:rsidP="00930AD9">
            <w:pPr>
              <w:pStyle w:val="Header"/>
              <w:numPr>
                <w:ilvl w:val="0"/>
                <w:numId w:val="2"/>
              </w:numPr>
              <w:tabs>
                <w:tab w:val="clear" w:pos="4320"/>
                <w:tab w:val="clear" w:pos="8640"/>
              </w:tabs>
              <w:jc w:val="both"/>
            </w:pPr>
            <w:r>
              <w:t>the Texas State Technical College System</w:t>
            </w:r>
            <w:r w:rsidR="00AC6A39">
              <w:t>, excluding Texas State Technical College</w:t>
            </w:r>
            <w:r w:rsidR="00944AB3">
              <w:noBreakHyphen/>
            </w:r>
            <w:r w:rsidR="00944AB3">
              <w:noBreakHyphen/>
            </w:r>
            <w:r w:rsidR="00AC6A39">
              <w:t>Waco</w:t>
            </w:r>
            <w:r>
              <w:t>.</w:t>
            </w:r>
          </w:p>
          <w:p w14:paraId="6B725F46" w14:textId="65B690B4" w:rsidR="00E50E8D" w:rsidRDefault="00BB7AF1" w:rsidP="00930AD9">
            <w:pPr>
              <w:pStyle w:val="Header"/>
              <w:tabs>
                <w:tab w:val="clear" w:pos="4320"/>
                <w:tab w:val="clear" w:pos="8640"/>
              </w:tabs>
              <w:jc w:val="both"/>
            </w:pPr>
            <w:r>
              <w:t>The bill</w:t>
            </w:r>
            <w:r w:rsidRPr="00E50E8D">
              <w:t xml:space="preserve"> sets out, for each institution, the specified projects that may be financed by the bonds and the maximum aggregate principal amounts that may be financed for each project. </w:t>
            </w:r>
          </w:p>
          <w:p w14:paraId="1DBDEA02" w14:textId="77777777" w:rsidR="00E50E8D" w:rsidRDefault="00E50E8D" w:rsidP="00930AD9">
            <w:pPr>
              <w:pStyle w:val="Header"/>
              <w:tabs>
                <w:tab w:val="clear" w:pos="4320"/>
                <w:tab w:val="clear" w:pos="8640"/>
              </w:tabs>
              <w:jc w:val="both"/>
            </w:pPr>
          </w:p>
          <w:p w14:paraId="19C6FFA8" w14:textId="4B34084B" w:rsidR="00E50E8D" w:rsidRPr="009C36CD" w:rsidRDefault="00BB7AF1" w:rsidP="00930AD9">
            <w:pPr>
              <w:pStyle w:val="Header"/>
              <w:tabs>
                <w:tab w:val="clear" w:pos="4320"/>
                <w:tab w:val="clear" w:pos="8640"/>
              </w:tabs>
              <w:jc w:val="both"/>
            </w:pPr>
            <w:r>
              <w:t>C.S.</w:t>
            </w:r>
            <w:r w:rsidRPr="00E50E8D">
              <w:t xml:space="preserve">H.B. </w:t>
            </w:r>
            <w:r>
              <w:t>1530</w:t>
            </w:r>
            <w:r w:rsidRPr="00E50E8D">
              <w:t xml:space="preserve"> provides for the authority of each applica</w:t>
            </w:r>
            <w:r w:rsidRPr="00E50E8D">
              <w:t>ble board of regents to pledge revenue funds to the payment of the bonds and provides for the transfer</w:t>
            </w:r>
            <w:r w:rsidR="00FF05A9">
              <w:t xml:space="preserve"> of</w:t>
            </w:r>
            <w:r w:rsidRPr="00E50E8D">
              <w:t xml:space="preserve"> funds among </w:t>
            </w:r>
            <w:r w:rsidR="008B266B">
              <w:t>each</w:t>
            </w:r>
            <w:r w:rsidR="00FF05A9">
              <w:t xml:space="preserve"> system's</w:t>
            </w:r>
            <w:r w:rsidR="00FF05A9" w:rsidRPr="00E50E8D">
              <w:t xml:space="preserve"> </w:t>
            </w:r>
            <w:r w:rsidRPr="00E50E8D">
              <w:t>institutions, branches, and entities</w:t>
            </w:r>
            <w:r w:rsidR="00FF05A9">
              <w:t xml:space="preserve"> if sufficient funds are not available to meet </w:t>
            </w:r>
            <w:r w:rsidRPr="00E50E8D">
              <w:t xml:space="preserve">the board's obligations under the bill's </w:t>
            </w:r>
            <w:r w:rsidRPr="00E50E8D">
              <w:t>provisions.</w:t>
            </w:r>
            <w:r>
              <w:t xml:space="preserve">     </w:t>
            </w:r>
          </w:p>
          <w:p w14:paraId="024A9AF7" w14:textId="77777777" w:rsidR="008423E4" w:rsidRPr="00835628" w:rsidRDefault="008423E4" w:rsidP="00930AD9">
            <w:pPr>
              <w:rPr>
                <w:b/>
              </w:rPr>
            </w:pPr>
          </w:p>
        </w:tc>
      </w:tr>
      <w:tr w:rsidR="005A07A0" w14:paraId="4E7EA5AB" w14:textId="77777777" w:rsidTr="003F72EB">
        <w:tc>
          <w:tcPr>
            <w:tcW w:w="9360" w:type="dxa"/>
          </w:tcPr>
          <w:p w14:paraId="21823FBA" w14:textId="77777777" w:rsidR="008423E4" w:rsidRPr="00A8133F" w:rsidRDefault="00BB7AF1" w:rsidP="00930AD9">
            <w:pPr>
              <w:rPr>
                <w:b/>
              </w:rPr>
            </w:pPr>
            <w:r w:rsidRPr="009C1E9A">
              <w:rPr>
                <w:b/>
                <w:u w:val="single"/>
              </w:rPr>
              <w:t>EFFECTIVE DATE</w:t>
            </w:r>
            <w:r>
              <w:rPr>
                <w:b/>
              </w:rPr>
              <w:t xml:space="preserve"> </w:t>
            </w:r>
          </w:p>
          <w:p w14:paraId="1CD3839B" w14:textId="77777777" w:rsidR="008423E4" w:rsidRDefault="008423E4" w:rsidP="00930AD9"/>
          <w:p w14:paraId="796C969D" w14:textId="77777777" w:rsidR="008423E4" w:rsidRPr="003624F2" w:rsidRDefault="00BB7AF1" w:rsidP="00930AD9">
            <w:pPr>
              <w:pStyle w:val="Header"/>
              <w:tabs>
                <w:tab w:val="clear" w:pos="4320"/>
                <w:tab w:val="clear" w:pos="8640"/>
              </w:tabs>
              <w:jc w:val="both"/>
            </w:pPr>
            <w:r>
              <w:t>September 1, 2021.</w:t>
            </w:r>
          </w:p>
          <w:p w14:paraId="55DB05E9" w14:textId="77777777" w:rsidR="008423E4" w:rsidRPr="00233FDB" w:rsidRDefault="008423E4" w:rsidP="00930AD9">
            <w:pPr>
              <w:rPr>
                <w:b/>
              </w:rPr>
            </w:pPr>
          </w:p>
        </w:tc>
      </w:tr>
      <w:tr w:rsidR="005A07A0" w14:paraId="554370DE" w14:textId="77777777" w:rsidTr="003F72EB">
        <w:tc>
          <w:tcPr>
            <w:tcW w:w="9360" w:type="dxa"/>
          </w:tcPr>
          <w:p w14:paraId="70002FC3" w14:textId="77777777" w:rsidR="009F6FAE" w:rsidRPr="00917833" w:rsidRDefault="00BB7AF1" w:rsidP="00917833">
            <w:pPr>
              <w:jc w:val="both"/>
              <w:rPr>
                <w:b/>
                <w:u w:val="single"/>
              </w:rPr>
            </w:pPr>
            <w:r w:rsidRPr="00917833">
              <w:rPr>
                <w:b/>
                <w:u w:val="single"/>
              </w:rPr>
              <w:t>COMPARISON OF ORIGINAL AND SUBSTITUTE</w:t>
            </w:r>
          </w:p>
          <w:p w14:paraId="7DF3DAC0" w14:textId="77777777" w:rsidR="002208C3" w:rsidRDefault="002208C3" w:rsidP="00917833">
            <w:pPr>
              <w:jc w:val="both"/>
              <w:rPr>
                <w:b/>
                <w:u w:val="single"/>
              </w:rPr>
            </w:pPr>
          </w:p>
          <w:p w14:paraId="6F39EBA1" w14:textId="77777777" w:rsidR="00917833" w:rsidRDefault="00BB7AF1" w:rsidP="00917833">
            <w:pPr>
              <w:jc w:val="both"/>
            </w:pPr>
            <w:r>
              <w:t xml:space="preserve">While C.S.H.B. 1530 may differ from the original in minor or nonsubstantive ways, the following summarizes the substantial differences between the introduced </w:t>
            </w:r>
            <w:r>
              <w:t>and committee substitute versions of the bill.</w:t>
            </w:r>
          </w:p>
          <w:p w14:paraId="1C118371" w14:textId="77777777" w:rsidR="00917833" w:rsidRDefault="00917833" w:rsidP="00917833">
            <w:pPr>
              <w:jc w:val="both"/>
            </w:pPr>
          </w:p>
          <w:p w14:paraId="66EC3494" w14:textId="77777777" w:rsidR="00917833" w:rsidRDefault="00BB7AF1" w:rsidP="00917833">
            <w:pPr>
              <w:jc w:val="both"/>
            </w:pPr>
            <w:r>
              <w:t xml:space="preserve">The original provided </w:t>
            </w:r>
            <w:r w:rsidRPr="002824CD">
              <w:t xml:space="preserve">the maximum aggregate principal amounts that may be financed </w:t>
            </w:r>
            <w:r>
              <w:t xml:space="preserve">by the bonds </w:t>
            </w:r>
            <w:r w:rsidRPr="002824CD">
              <w:t>for each project</w:t>
            </w:r>
            <w:r>
              <w:t xml:space="preserve"> authorized under the bill's provisions, whereas the substitute revises those amounts and furthe</w:t>
            </w:r>
            <w:r>
              <w:t>r specifies the projects for which the bonds may be used.</w:t>
            </w:r>
          </w:p>
          <w:p w14:paraId="0EAA0A41" w14:textId="77777777" w:rsidR="00917833" w:rsidRDefault="00917833" w:rsidP="00917833">
            <w:pPr>
              <w:jc w:val="both"/>
            </w:pPr>
          </w:p>
          <w:p w14:paraId="2C581616" w14:textId="77777777" w:rsidR="00917833" w:rsidRDefault="00BB7AF1" w:rsidP="00917833">
            <w:pPr>
              <w:jc w:val="both"/>
            </w:pPr>
            <w:r>
              <w:t>The substitute does not provide aggregate principal amounts for the following institutions, which were present in the original:</w:t>
            </w:r>
          </w:p>
          <w:p w14:paraId="41125268" w14:textId="77777777" w:rsidR="0087686E" w:rsidRDefault="00BB7AF1" w:rsidP="00917833">
            <w:pPr>
              <w:pStyle w:val="ListParagraph"/>
              <w:numPr>
                <w:ilvl w:val="0"/>
                <w:numId w:val="3"/>
              </w:numPr>
              <w:contextualSpacing w:val="0"/>
              <w:jc w:val="both"/>
            </w:pPr>
            <w:r>
              <w:t>Texas A&amp;M University--Central Texas;</w:t>
            </w:r>
          </w:p>
          <w:p w14:paraId="359C4F60" w14:textId="1538DA10" w:rsidR="0087686E" w:rsidRDefault="00BB7AF1" w:rsidP="00917833">
            <w:pPr>
              <w:pStyle w:val="ListParagraph"/>
              <w:numPr>
                <w:ilvl w:val="0"/>
                <w:numId w:val="3"/>
              </w:numPr>
              <w:contextualSpacing w:val="0"/>
              <w:jc w:val="both"/>
            </w:pPr>
            <w:r>
              <w:t>Texas A&amp;M International Universi</w:t>
            </w:r>
            <w:r>
              <w:t>ty;</w:t>
            </w:r>
          </w:p>
          <w:p w14:paraId="674B049B" w14:textId="3B89EED6" w:rsidR="0087686E" w:rsidRDefault="00BB7AF1" w:rsidP="00917833">
            <w:pPr>
              <w:pStyle w:val="ListParagraph"/>
              <w:numPr>
                <w:ilvl w:val="0"/>
                <w:numId w:val="3"/>
              </w:numPr>
              <w:contextualSpacing w:val="0"/>
              <w:jc w:val="both"/>
            </w:pPr>
            <w:r>
              <w:t>Texas A&amp;M University--Texarkana;</w:t>
            </w:r>
          </w:p>
          <w:p w14:paraId="17DD8ABC" w14:textId="338097C4" w:rsidR="0087686E" w:rsidRDefault="00BB7AF1" w:rsidP="00917833">
            <w:pPr>
              <w:pStyle w:val="ListParagraph"/>
              <w:numPr>
                <w:ilvl w:val="0"/>
                <w:numId w:val="3"/>
              </w:numPr>
              <w:contextualSpacing w:val="0"/>
              <w:jc w:val="both"/>
            </w:pPr>
            <w:r>
              <w:t>West Texas A&amp;M University;</w:t>
            </w:r>
          </w:p>
          <w:p w14:paraId="4A5425DB" w14:textId="0D4B2BD7" w:rsidR="00917833" w:rsidRDefault="00BB7AF1" w:rsidP="00917833">
            <w:pPr>
              <w:pStyle w:val="ListParagraph"/>
              <w:numPr>
                <w:ilvl w:val="0"/>
                <w:numId w:val="3"/>
              </w:numPr>
              <w:contextualSpacing w:val="0"/>
              <w:jc w:val="both"/>
            </w:pPr>
            <w:r>
              <w:t>the University of Houston--Victoria;</w:t>
            </w:r>
          </w:p>
          <w:p w14:paraId="193D1090" w14:textId="77777777" w:rsidR="00917833" w:rsidRDefault="00BB7AF1" w:rsidP="00917833">
            <w:pPr>
              <w:pStyle w:val="ListParagraph"/>
              <w:numPr>
                <w:ilvl w:val="0"/>
                <w:numId w:val="3"/>
              </w:numPr>
              <w:contextualSpacing w:val="0"/>
              <w:jc w:val="both"/>
            </w:pPr>
            <w:r>
              <w:t>Lamar University;</w:t>
            </w:r>
          </w:p>
          <w:p w14:paraId="56B11B29" w14:textId="77777777" w:rsidR="00917833" w:rsidRDefault="00BB7AF1" w:rsidP="00917833">
            <w:pPr>
              <w:pStyle w:val="ListParagraph"/>
              <w:numPr>
                <w:ilvl w:val="0"/>
                <w:numId w:val="3"/>
              </w:numPr>
              <w:contextualSpacing w:val="0"/>
              <w:jc w:val="both"/>
            </w:pPr>
            <w:r>
              <w:t>Sul Ross State University;</w:t>
            </w:r>
          </w:p>
          <w:p w14:paraId="636BCC3C" w14:textId="77777777" w:rsidR="00917833" w:rsidRDefault="00BB7AF1" w:rsidP="00917833">
            <w:pPr>
              <w:pStyle w:val="ListParagraph"/>
              <w:numPr>
                <w:ilvl w:val="0"/>
                <w:numId w:val="3"/>
              </w:numPr>
              <w:contextualSpacing w:val="0"/>
              <w:jc w:val="both"/>
            </w:pPr>
            <w:r>
              <w:t>Sul Ross State University Rio Grande College; and</w:t>
            </w:r>
          </w:p>
          <w:p w14:paraId="09F348FB" w14:textId="3986F98E" w:rsidR="00917833" w:rsidRPr="00917833" w:rsidRDefault="00BB7AF1" w:rsidP="00917833">
            <w:pPr>
              <w:pStyle w:val="ListParagraph"/>
              <w:numPr>
                <w:ilvl w:val="0"/>
                <w:numId w:val="4"/>
              </w:numPr>
              <w:spacing w:before="120" w:after="120"/>
              <w:jc w:val="both"/>
              <w:rPr>
                <w:b/>
                <w:u w:val="single"/>
              </w:rPr>
            </w:pPr>
            <w:r>
              <w:t>Texas State Technical College--Waco.</w:t>
            </w:r>
          </w:p>
        </w:tc>
      </w:tr>
    </w:tbl>
    <w:p w14:paraId="6BA66BC8" w14:textId="77777777" w:rsidR="008423E4" w:rsidRPr="00BE0E75" w:rsidRDefault="008423E4" w:rsidP="00930AD9">
      <w:pPr>
        <w:jc w:val="both"/>
        <w:rPr>
          <w:rFonts w:ascii="Arial" w:hAnsi="Arial"/>
          <w:sz w:val="16"/>
          <w:szCs w:val="16"/>
        </w:rPr>
      </w:pPr>
    </w:p>
    <w:p w14:paraId="6A81CF9D" w14:textId="77777777" w:rsidR="004108C3" w:rsidRPr="008423E4" w:rsidRDefault="004108C3" w:rsidP="00930AD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473E" w14:textId="77777777" w:rsidR="00000000" w:rsidRDefault="00BB7AF1">
      <w:r>
        <w:separator/>
      </w:r>
    </w:p>
  </w:endnote>
  <w:endnote w:type="continuationSeparator" w:id="0">
    <w:p w14:paraId="588BBC4F" w14:textId="77777777" w:rsidR="00000000" w:rsidRDefault="00BB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29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A07A0" w14:paraId="79FAF42C" w14:textId="77777777" w:rsidTr="009C1E9A">
      <w:trPr>
        <w:cantSplit/>
      </w:trPr>
      <w:tc>
        <w:tcPr>
          <w:tcW w:w="0" w:type="pct"/>
        </w:tcPr>
        <w:p w14:paraId="6552BD4C" w14:textId="77777777" w:rsidR="00137D90" w:rsidRDefault="00137D90" w:rsidP="009C1E9A">
          <w:pPr>
            <w:pStyle w:val="Footer"/>
            <w:tabs>
              <w:tab w:val="clear" w:pos="8640"/>
              <w:tab w:val="right" w:pos="9360"/>
            </w:tabs>
          </w:pPr>
        </w:p>
      </w:tc>
      <w:tc>
        <w:tcPr>
          <w:tcW w:w="2395" w:type="pct"/>
        </w:tcPr>
        <w:p w14:paraId="3234FC37" w14:textId="77777777" w:rsidR="00137D90" w:rsidRDefault="00137D90" w:rsidP="009C1E9A">
          <w:pPr>
            <w:pStyle w:val="Footer"/>
            <w:tabs>
              <w:tab w:val="clear" w:pos="8640"/>
              <w:tab w:val="right" w:pos="9360"/>
            </w:tabs>
          </w:pPr>
        </w:p>
        <w:p w14:paraId="35BCA5D8" w14:textId="77777777" w:rsidR="001A4310" w:rsidRDefault="001A4310" w:rsidP="009C1E9A">
          <w:pPr>
            <w:pStyle w:val="Footer"/>
            <w:tabs>
              <w:tab w:val="clear" w:pos="8640"/>
              <w:tab w:val="right" w:pos="9360"/>
            </w:tabs>
          </w:pPr>
        </w:p>
        <w:p w14:paraId="21331D79" w14:textId="77777777" w:rsidR="00137D90" w:rsidRDefault="00137D90" w:rsidP="009C1E9A">
          <w:pPr>
            <w:pStyle w:val="Footer"/>
            <w:tabs>
              <w:tab w:val="clear" w:pos="8640"/>
              <w:tab w:val="right" w:pos="9360"/>
            </w:tabs>
          </w:pPr>
        </w:p>
      </w:tc>
      <w:tc>
        <w:tcPr>
          <w:tcW w:w="2453" w:type="pct"/>
        </w:tcPr>
        <w:p w14:paraId="40FE61CE" w14:textId="77777777" w:rsidR="00137D90" w:rsidRDefault="00137D90" w:rsidP="009C1E9A">
          <w:pPr>
            <w:pStyle w:val="Footer"/>
            <w:tabs>
              <w:tab w:val="clear" w:pos="8640"/>
              <w:tab w:val="right" w:pos="9360"/>
            </w:tabs>
            <w:jc w:val="right"/>
          </w:pPr>
        </w:p>
      </w:tc>
    </w:tr>
    <w:tr w:rsidR="005A07A0" w14:paraId="4B2B7C7D" w14:textId="77777777" w:rsidTr="009C1E9A">
      <w:trPr>
        <w:cantSplit/>
      </w:trPr>
      <w:tc>
        <w:tcPr>
          <w:tcW w:w="0" w:type="pct"/>
        </w:tcPr>
        <w:p w14:paraId="2B76421C" w14:textId="77777777" w:rsidR="00EC379B" w:rsidRDefault="00EC379B" w:rsidP="009C1E9A">
          <w:pPr>
            <w:pStyle w:val="Footer"/>
            <w:tabs>
              <w:tab w:val="clear" w:pos="8640"/>
              <w:tab w:val="right" w:pos="9360"/>
            </w:tabs>
          </w:pPr>
        </w:p>
      </w:tc>
      <w:tc>
        <w:tcPr>
          <w:tcW w:w="2395" w:type="pct"/>
        </w:tcPr>
        <w:p w14:paraId="72D2E50A" w14:textId="333A32B1" w:rsidR="00EC379B" w:rsidRPr="009C1E9A" w:rsidRDefault="00BB7AF1" w:rsidP="009C1E9A">
          <w:pPr>
            <w:pStyle w:val="Footer"/>
            <w:tabs>
              <w:tab w:val="clear" w:pos="8640"/>
              <w:tab w:val="right" w:pos="9360"/>
            </w:tabs>
            <w:rPr>
              <w:rFonts w:ascii="Shruti" w:hAnsi="Shruti"/>
              <w:sz w:val="22"/>
            </w:rPr>
          </w:pPr>
          <w:r>
            <w:rPr>
              <w:rFonts w:ascii="Shruti" w:hAnsi="Shruti"/>
              <w:sz w:val="22"/>
            </w:rPr>
            <w:t>87R 24491</w:t>
          </w:r>
        </w:p>
      </w:tc>
      <w:tc>
        <w:tcPr>
          <w:tcW w:w="2453" w:type="pct"/>
        </w:tcPr>
        <w:p w14:paraId="1FA9ABAB" w14:textId="0C086648" w:rsidR="00EC379B" w:rsidRDefault="00BB7AF1" w:rsidP="009C1E9A">
          <w:pPr>
            <w:pStyle w:val="Footer"/>
            <w:tabs>
              <w:tab w:val="clear" w:pos="8640"/>
              <w:tab w:val="right" w:pos="9360"/>
            </w:tabs>
            <w:jc w:val="right"/>
          </w:pPr>
          <w:r>
            <w:fldChar w:fldCharType="begin"/>
          </w:r>
          <w:r>
            <w:instrText xml:space="preserve"> DOCPROPERTY  OTID  \* MERGEFORMAT </w:instrText>
          </w:r>
          <w:r>
            <w:fldChar w:fldCharType="separate"/>
          </w:r>
          <w:r w:rsidR="003242A4">
            <w:t>21.124.621</w:t>
          </w:r>
          <w:r>
            <w:fldChar w:fldCharType="end"/>
          </w:r>
        </w:p>
      </w:tc>
    </w:tr>
    <w:tr w:rsidR="005A07A0" w14:paraId="6E75E84C" w14:textId="77777777" w:rsidTr="009C1E9A">
      <w:trPr>
        <w:cantSplit/>
      </w:trPr>
      <w:tc>
        <w:tcPr>
          <w:tcW w:w="0" w:type="pct"/>
        </w:tcPr>
        <w:p w14:paraId="5E53982E" w14:textId="77777777" w:rsidR="00EC379B" w:rsidRDefault="00EC379B" w:rsidP="009C1E9A">
          <w:pPr>
            <w:pStyle w:val="Footer"/>
            <w:tabs>
              <w:tab w:val="clear" w:pos="4320"/>
              <w:tab w:val="clear" w:pos="8640"/>
              <w:tab w:val="left" w:pos="2865"/>
            </w:tabs>
          </w:pPr>
        </w:p>
      </w:tc>
      <w:tc>
        <w:tcPr>
          <w:tcW w:w="2395" w:type="pct"/>
        </w:tcPr>
        <w:p w14:paraId="48021592" w14:textId="217851C4" w:rsidR="00EC379B" w:rsidRPr="009C1E9A" w:rsidRDefault="00BB7AF1" w:rsidP="009C1E9A">
          <w:pPr>
            <w:pStyle w:val="Footer"/>
            <w:tabs>
              <w:tab w:val="clear" w:pos="4320"/>
              <w:tab w:val="clear" w:pos="8640"/>
              <w:tab w:val="left" w:pos="2865"/>
            </w:tabs>
            <w:rPr>
              <w:rFonts w:ascii="Shruti" w:hAnsi="Shruti"/>
              <w:sz w:val="22"/>
            </w:rPr>
          </w:pPr>
          <w:r>
            <w:rPr>
              <w:rFonts w:ascii="Shruti" w:hAnsi="Shruti"/>
              <w:sz w:val="22"/>
            </w:rPr>
            <w:t>Substitute Document Number: 87R 18557</w:t>
          </w:r>
        </w:p>
      </w:tc>
      <w:tc>
        <w:tcPr>
          <w:tcW w:w="2453" w:type="pct"/>
        </w:tcPr>
        <w:p w14:paraId="13025B5B" w14:textId="77777777" w:rsidR="00EC379B" w:rsidRDefault="00EC379B" w:rsidP="006D504F">
          <w:pPr>
            <w:pStyle w:val="Footer"/>
            <w:rPr>
              <w:rStyle w:val="PageNumber"/>
            </w:rPr>
          </w:pPr>
        </w:p>
        <w:p w14:paraId="5C777950" w14:textId="77777777" w:rsidR="00EC379B" w:rsidRDefault="00EC379B" w:rsidP="009C1E9A">
          <w:pPr>
            <w:pStyle w:val="Footer"/>
            <w:tabs>
              <w:tab w:val="clear" w:pos="8640"/>
              <w:tab w:val="right" w:pos="9360"/>
            </w:tabs>
            <w:jc w:val="right"/>
          </w:pPr>
        </w:p>
      </w:tc>
    </w:tr>
    <w:tr w:rsidR="005A07A0" w14:paraId="4B294BD5" w14:textId="77777777" w:rsidTr="009C1E9A">
      <w:trPr>
        <w:cantSplit/>
        <w:trHeight w:val="323"/>
      </w:trPr>
      <w:tc>
        <w:tcPr>
          <w:tcW w:w="0" w:type="pct"/>
          <w:gridSpan w:val="3"/>
        </w:tcPr>
        <w:p w14:paraId="3C5D9D93" w14:textId="75D0FAEB" w:rsidR="00EC379B" w:rsidRDefault="00BB7A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242A4">
            <w:rPr>
              <w:rStyle w:val="PageNumber"/>
              <w:noProof/>
            </w:rPr>
            <w:t>2</w:t>
          </w:r>
          <w:r>
            <w:rPr>
              <w:rStyle w:val="PageNumber"/>
            </w:rPr>
            <w:fldChar w:fldCharType="end"/>
          </w:r>
        </w:p>
        <w:p w14:paraId="6E72F4E1" w14:textId="77777777" w:rsidR="00EC379B" w:rsidRDefault="00EC379B" w:rsidP="009C1E9A">
          <w:pPr>
            <w:pStyle w:val="Footer"/>
            <w:tabs>
              <w:tab w:val="clear" w:pos="8640"/>
              <w:tab w:val="right" w:pos="9360"/>
            </w:tabs>
            <w:jc w:val="center"/>
          </w:pPr>
        </w:p>
      </w:tc>
    </w:tr>
  </w:tbl>
  <w:p w14:paraId="0A4EFA0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DE3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6772" w14:textId="77777777" w:rsidR="00000000" w:rsidRDefault="00BB7AF1">
      <w:r>
        <w:separator/>
      </w:r>
    </w:p>
  </w:footnote>
  <w:footnote w:type="continuationSeparator" w:id="0">
    <w:p w14:paraId="0FF693DE" w14:textId="77777777" w:rsidR="00000000" w:rsidRDefault="00BB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FB2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B13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F3B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76E"/>
    <w:multiLevelType w:val="hybridMultilevel"/>
    <w:tmpl w:val="E296238A"/>
    <w:lvl w:ilvl="0" w:tplc="DDF241D4">
      <w:start w:val="1"/>
      <w:numFmt w:val="bullet"/>
      <w:lvlText w:val=""/>
      <w:lvlJc w:val="left"/>
      <w:pPr>
        <w:tabs>
          <w:tab w:val="num" w:pos="720"/>
        </w:tabs>
        <w:ind w:left="720" w:hanging="360"/>
      </w:pPr>
      <w:rPr>
        <w:rFonts w:ascii="Symbol" w:hAnsi="Symbol" w:hint="default"/>
      </w:rPr>
    </w:lvl>
    <w:lvl w:ilvl="1" w:tplc="BD562F44" w:tentative="1">
      <w:start w:val="1"/>
      <w:numFmt w:val="bullet"/>
      <w:lvlText w:val="o"/>
      <w:lvlJc w:val="left"/>
      <w:pPr>
        <w:ind w:left="1440" w:hanging="360"/>
      </w:pPr>
      <w:rPr>
        <w:rFonts w:ascii="Courier New" w:hAnsi="Courier New" w:cs="Courier New" w:hint="default"/>
      </w:rPr>
    </w:lvl>
    <w:lvl w:ilvl="2" w:tplc="C81EB52C" w:tentative="1">
      <w:start w:val="1"/>
      <w:numFmt w:val="bullet"/>
      <w:lvlText w:val=""/>
      <w:lvlJc w:val="left"/>
      <w:pPr>
        <w:ind w:left="2160" w:hanging="360"/>
      </w:pPr>
      <w:rPr>
        <w:rFonts w:ascii="Wingdings" w:hAnsi="Wingdings" w:hint="default"/>
      </w:rPr>
    </w:lvl>
    <w:lvl w:ilvl="3" w:tplc="0256EB48" w:tentative="1">
      <w:start w:val="1"/>
      <w:numFmt w:val="bullet"/>
      <w:lvlText w:val=""/>
      <w:lvlJc w:val="left"/>
      <w:pPr>
        <w:ind w:left="2880" w:hanging="360"/>
      </w:pPr>
      <w:rPr>
        <w:rFonts w:ascii="Symbol" w:hAnsi="Symbol" w:hint="default"/>
      </w:rPr>
    </w:lvl>
    <w:lvl w:ilvl="4" w:tplc="BAA82D4C" w:tentative="1">
      <w:start w:val="1"/>
      <w:numFmt w:val="bullet"/>
      <w:lvlText w:val="o"/>
      <w:lvlJc w:val="left"/>
      <w:pPr>
        <w:ind w:left="3600" w:hanging="360"/>
      </w:pPr>
      <w:rPr>
        <w:rFonts w:ascii="Courier New" w:hAnsi="Courier New" w:cs="Courier New" w:hint="default"/>
      </w:rPr>
    </w:lvl>
    <w:lvl w:ilvl="5" w:tplc="2A60E8CE" w:tentative="1">
      <w:start w:val="1"/>
      <w:numFmt w:val="bullet"/>
      <w:lvlText w:val=""/>
      <w:lvlJc w:val="left"/>
      <w:pPr>
        <w:ind w:left="4320" w:hanging="360"/>
      </w:pPr>
      <w:rPr>
        <w:rFonts w:ascii="Wingdings" w:hAnsi="Wingdings" w:hint="default"/>
      </w:rPr>
    </w:lvl>
    <w:lvl w:ilvl="6" w:tplc="B9C42B30" w:tentative="1">
      <w:start w:val="1"/>
      <w:numFmt w:val="bullet"/>
      <w:lvlText w:val=""/>
      <w:lvlJc w:val="left"/>
      <w:pPr>
        <w:ind w:left="5040" w:hanging="360"/>
      </w:pPr>
      <w:rPr>
        <w:rFonts w:ascii="Symbol" w:hAnsi="Symbol" w:hint="default"/>
      </w:rPr>
    </w:lvl>
    <w:lvl w:ilvl="7" w:tplc="2F5A1C3E" w:tentative="1">
      <w:start w:val="1"/>
      <w:numFmt w:val="bullet"/>
      <w:lvlText w:val="o"/>
      <w:lvlJc w:val="left"/>
      <w:pPr>
        <w:ind w:left="5760" w:hanging="360"/>
      </w:pPr>
      <w:rPr>
        <w:rFonts w:ascii="Courier New" w:hAnsi="Courier New" w:cs="Courier New" w:hint="default"/>
      </w:rPr>
    </w:lvl>
    <w:lvl w:ilvl="8" w:tplc="BB7AD818" w:tentative="1">
      <w:start w:val="1"/>
      <w:numFmt w:val="bullet"/>
      <w:lvlText w:val=""/>
      <w:lvlJc w:val="left"/>
      <w:pPr>
        <w:ind w:left="6480" w:hanging="360"/>
      </w:pPr>
      <w:rPr>
        <w:rFonts w:ascii="Wingdings" w:hAnsi="Wingdings" w:hint="default"/>
      </w:rPr>
    </w:lvl>
  </w:abstractNum>
  <w:abstractNum w:abstractNumId="1" w15:restartNumberingAfterBreak="0">
    <w:nsid w:val="5452260D"/>
    <w:multiLevelType w:val="hybridMultilevel"/>
    <w:tmpl w:val="F09AFEF8"/>
    <w:lvl w:ilvl="0" w:tplc="F34E9696">
      <w:start w:val="1"/>
      <w:numFmt w:val="bullet"/>
      <w:lvlText w:val=""/>
      <w:lvlJc w:val="left"/>
      <w:pPr>
        <w:tabs>
          <w:tab w:val="num" w:pos="720"/>
        </w:tabs>
        <w:ind w:left="720" w:hanging="360"/>
      </w:pPr>
      <w:rPr>
        <w:rFonts w:ascii="Symbol" w:hAnsi="Symbol" w:hint="default"/>
      </w:rPr>
    </w:lvl>
    <w:lvl w:ilvl="1" w:tplc="9A926A0A" w:tentative="1">
      <w:start w:val="1"/>
      <w:numFmt w:val="bullet"/>
      <w:lvlText w:val="o"/>
      <w:lvlJc w:val="left"/>
      <w:pPr>
        <w:ind w:left="1440" w:hanging="360"/>
      </w:pPr>
      <w:rPr>
        <w:rFonts w:ascii="Courier New" w:hAnsi="Courier New" w:cs="Courier New" w:hint="default"/>
      </w:rPr>
    </w:lvl>
    <w:lvl w:ilvl="2" w:tplc="93EC65C8" w:tentative="1">
      <w:start w:val="1"/>
      <w:numFmt w:val="bullet"/>
      <w:lvlText w:val=""/>
      <w:lvlJc w:val="left"/>
      <w:pPr>
        <w:ind w:left="2160" w:hanging="360"/>
      </w:pPr>
      <w:rPr>
        <w:rFonts w:ascii="Wingdings" w:hAnsi="Wingdings" w:hint="default"/>
      </w:rPr>
    </w:lvl>
    <w:lvl w:ilvl="3" w:tplc="29949000" w:tentative="1">
      <w:start w:val="1"/>
      <w:numFmt w:val="bullet"/>
      <w:lvlText w:val=""/>
      <w:lvlJc w:val="left"/>
      <w:pPr>
        <w:ind w:left="2880" w:hanging="360"/>
      </w:pPr>
      <w:rPr>
        <w:rFonts w:ascii="Symbol" w:hAnsi="Symbol" w:hint="default"/>
      </w:rPr>
    </w:lvl>
    <w:lvl w:ilvl="4" w:tplc="EC5ABB88" w:tentative="1">
      <w:start w:val="1"/>
      <w:numFmt w:val="bullet"/>
      <w:lvlText w:val="o"/>
      <w:lvlJc w:val="left"/>
      <w:pPr>
        <w:ind w:left="3600" w:hanging="360"/>
      </w:pPr>
      <w:rPr>
        <w:rFonts w:ascii="Courier New" w:hAnsi="Courier New" w:cs="Courier New" w:hint="default"/>
      </w:rPr>
    </w:lvl>
    <w:lvl w:ilvl="5" w:tplc="D7D0FDCC" w:tentative="1">
      <w:start w:val="1"/>
      <w:numFmt w:val="bullet"/>
      <w:lvlText w:val=""/>
      <w:lvlJc w:val="left"/>
      <w:pPr>
        <w:ind w:left="4320" w:hanging="360"/>
      </w:pPr>
      <w:rPr>
        <w:rFonts w:ascii="Wingdings" w:hAnsi="Wingdings" w:hint="default"/>
      </w:rPr>
    </w:lvl>
    <w:lvl w:ilvl="6" w:tplc="395A9D70" w:tentative="1">
      <w:start w:val="1"/>
      <w:numFmt w:val="bullet"/>
      <w:lvlText w:val=""/>
      <w:lvlJc w:val="left"/>
      <w:pPr>
        <w:ind w:left="5040" w:hanging="360"/>
      </w:pPr>
      <w:rPr>
        <w:rFonts w:ascii="Symbol" w:hAnsi="Symbol" w:hint="default"/>
      </w:rPr>
    </w:lvl>
    <w:lvl w:ilvl="7" w:tplc="64C44FE8" w:tentative="1">
      <w:start w:val="1"/>
      <w:numFmt w:val="bullet"/>
      <w:lvlText w:val="o"/>
      <w:lvlJc w:val="left"/>
      <w:pPr>
        <w:ind w:left="5760" w:hanging="360"/>
      </w:pPr>
      <w:rPr>
        <w:rFonts w:ascii="Courier New" w:hAnsi="Courier New" w:cs="Courier New" w:hint="default"/>
      </w:rPr>
    </w:lvl>
    <w:lvl w:ilvl="8" w:tplc="C8F4F4B0" w:tentative="1">
      <w:start w:val="1"/>
      <w:numFmt w:val="bullet"/>
      <w:lvlText w:val=""/>
      <w:lvlJc w:val="left"/>
      <w:pPr>
        <w:ind w:left="6480" w:hanging="360"/>
      </w:pPr>
      <w:rPr>
        <w:rFonts w:ascii="Wingdings" w:hAnsi="Wingdings" w:hint="default"/>
      </w:rPr>
    </w:lvl>
  </w:abstractNum>
  <w:abstractNum w:abstractNumId="2" w15:restartNumberingAfterBreak="0">
    <w:nsid w:val="5FEC2238"/>
    <w:multiLevelType w:val="hybridMultilevel"/>
    <w:tmpl w:val="E8164486"/>
    <w:lvl w:ilvl="0" w:tplc="F19EF7FE">
      <w:start w:val="1"/>
      <w:numFmt w:val="bullet"/>
      <w:lvlText w:val=""/>
      <w:lvlJc w:val="left"/>
      <w:pPr>
        <w:tabs>
          <w:tab w:val="num" w:pos="720"/>
        </w:tabs>
        <w:ind w:left="720" w:hanging="360"/>
      </w:pPr>
      <w:rPr>
        <w:rFonts w:ascii="Symbol" w:hAnsi="Symbol" w:hint="default"/>
      </w:rPr>
    </w:lvl>
    <w:lvl w:ilvl="1" w:tplc="8586E4EE" w:tentative="1">
      <w:start w:val="1"/>
      <w:numFmt w:val="bullet"/>
      <w:lvlText w:val="o"/>
      <w:lvlJc w:val="left"/>
      <w:pPr>
        <w:ind w:left="1440" w:hanging="360"/>
      </w:pPr>
      <w:rPr>
        <w:rFonts w:ascii="Courier New" w:hAnsi="Courier New" w:cs="Courier New" w:hint="default"/>
      </w:rPr>
    </w:lvl>
    <w:lvl w:ilvl="2" w:tplc="2828F792" w:tentative="1">
      <w:start w:val="1"/>
      <w:numFmt w:val="bullet"/>
      <w:lvlText w:val=""/>
      <w:lvlJc w:val="left"/>
      <w:pPr>
        <w:ind w:left="2160" w:hanging="360"/>
      </w:pPr>
      <w:rPr>
        <w:rFonts w:ascii="Wingdings" w:hAnsi="Wingdings" w:hint="default"/>
      </w:rPr>
    </w:lvl>
    <w:lvl w:ilvl="3" w:tplc="3894DA88" w:tentative="1">
      <w:start w:val="1"/>
      <w:numFmt w:val="bullet"/>
      <w:lvlText w:val=""/>
      <w:lvlJc w:val="left"/>
      <w:pPr>
        <w:ind w:left="2880" w:hanging="360"/>
      </w:pPr>
      <w:rPr>
        <w:rFonts w:ascii="Symbol" w:hAnsi="Symbol" w:hint="default"/>
      </w:rPr>
    </w:lvl>
    <w:lvl w:ilvl="4" w:tplc="2D16F542" w:tentative="1">
      <w:start w:val="1"/>
      <w:numFmt w:val="bullet"/>
      <w:lvlText w:val="o"/>
      <w:lvlJc w:val="left"/>
      <w:pPr>
        <w:ind w:left="3600" w:hanging="360"/>
      </w:pPr>
      <w:rPr>
        <w:rFonts w:ascii="Courier New" w:hAnsi="Courier New" w:cs="Courier New" w:hint="default"/>
      </w:rPr>
    </w:lvl>
    <w:lvl w:ilvl="5" w:tplc="96DAD012" w:tentative="1">
      <w:start w:val="1"/>
      <w:numFmt w:val="bullet"/>
      <w:lvlText w:val=""/>
      <w:lvlJc w:val="left"/>
      <w:pPr>
        <w:ind w:left="4320" w:hanging="360"/>
      </w:pPr>
      <w:rPr>
        <w:rFonts w:ascii="Wingdings" w:hAnsi="Wingdings" w:hint="default"/>
      </w:rPr>
    </w:lvl>
    <w:lvl w:ilvl="6" w:tplc="FF7A8800" w:tentative="1">
      <w:start w:val="1"/>
      <w:numFmt w:val="bullet"/>
      <w:lvlText w:val=""/>
      <w:lvlJc w:val="left"/>
      <w:pPr>
        <w:ind w:left="5040" w:hanging="360"/>
      </w:pPr>
      <w:rPr>
        <w:rFonts w:ascii="Symbol" w:hAnsi="Symbol" w:hint="default"/>
      </w:rPr>
    </w:lvl>
    <w:lvl w:ilvl="7" w:tplc="0F6AD7FA" w:tentative="1">
      <w:start w:val="1"/>
      <w:numFmt w:val="bullet"/>
      <w:lvlText w:val="o"/>
      <w:lvlJc w:val="left"/>
      <w:pPr>
        <w:ind w:left="5760" w:hanging="360"/>
      </w:pPr>
      <w:rPr>
        <w:rFonts w:ascii="Courier New" w:hAnsi="Courier New" w:cs="Courier New" w:hint="default"/>
      </w:rPr>
    </w:lvl>
    <w:lvl w:ilvl="8" w:tplc="52AE7424" w:tentative="1">
      <w:start w:val="1"/>
      <w:numFmt w:val="bullet"/>
      <w:lvlText w:val=""/>
      <w:lvlJc w:val="left"/>
      <w:pPr>
        <w:ind w:left="6480" w:hanging="360"/>
      </w:pPr>
      <w:rPr>
        <w:rFonts w:ascii="Wingdings" w:hAnsi="Wingdings" w:hint="default"/>
      </w:rPr>
    </w:lvl>
  </w:abstractNum>
  <w:abstractNum w:abstractNumId="3" w15:restartNumberingAfterBreak="0">
    <w:nsid w:val="63521B89"/>
    <w:multiLevelType w:val="hybridMultilevel"/>
    <w:tmpl w:val="2862B966"/>
    <w:lvl w:ilvl="0" w:tplc="7DDCCC8E">
      <w:start w:val="1"/>
      <w:numFmt w:val="bullet"/>
      <w:lvlText w:val=""/>
      <w:lvlJc w:val="left"/>
      <w:pPr>
        <w:tabs>
          <w:tab w:val="num" w:pos="720"/>
        </w:tabs>
        <w:ind w:left="720" w:hanging="360"/>
      </w:pPr>
      <w:rPr>
        <w:rFonts w:ascii="Symbol" w:hAnsi="Symbol" w:hint="default"/>
      </w:rPr>
    </w:lvl>
    <w:lvl w:ilvl="1" w:tplc="19D216AA" w:tentative="1">
      <w:start w:val="1"/>
      <w:numFmt w:val="bullet"/>
      <w:lvlText w:val="o"/>
      <w:lvlJc w:val="left"/>
      <w:pPr>
        <w:ind w:left="1440" w:hanging="360"/>
      </w:pPr>
      <w:rPr>
        <w:rFonts w:ascii="Courier New" w:hAnsi="Courier New" w:cs="Courier New" w:hint="default"/>
      </w:rPr>
    </w:lvl>
    <w:lvl w:ilvl="2" w:tplc="E2D0FB32" w:tentative="1">
      <w:start w:val="1"/>
      <w:numFmt w:val="bullet"/>
      <w:lvlText w:val=""/>
      <w:lvlJc w:val="left"/>
      <w:pPr>
        <w:ind w:left="2160" w:hanging="360"/>
      </w:pPr>
      <w:rPr>
        <w:rFonts w:ascii="Wingdings" w:hAnsi="Wingdings" w:hint="default"/>
      </w:rPr>
    </w:lvl>
    <w:lvl w:ilvl="3" w:tplc="65805B74" w:tentative="1">
      <w:start w:val="1"/>
      <w:numFmt w:val="bullet"/>
      <w:lvlText w:val=""/>
      <w:lvlJc w:val="left"/>
      <w:pPr>
        <w:ind w:left="2880" w:hanging="360"/>
      </w:pPr>
      <w:rPr>
        <w:rFonts w:ascii="Symbol" w:hAnsi="Symbol" w:hint="default"/>
      </w:rPr>
    </w:lvl>
    <w:lvl w:ilvl="4" w:tplc="034A840E" w:tentative="1">
      <w:start w:val="1"/>
      <w:numFmt w:val="bullet"/>
      <w:lvlText w:val="o"/>
      <w:lvlJc w:val="left"/>
      <w:pPr>
        <w:ind w:left="3600" w:hanging="360"/>
      </w:pPr>
      <w:rPr>
        <w:rFonts w:ascii="Courier New" w:hAnsi="Courier New" w:cs="Courier New" w:hint="default"/>
      </w:rPr>
    </w:lvl>
    <w:lvl w:ilvl="5" w:tplc="8398CA42" w:tentative="1">
      <w:start w:val="1"/>
      <w:numFmt w:val="bullet"/>
      <w:lvlText w:val=""/>
      <w:lvlJc w:val="left"/>
      <w:pPr>
        <w:ind w:left="4320" w:hanging="360"/>
      </w:pPr>
      <w:rPr>
        <w:rFonts w:ascii="Wingdings" w:hAnsi="Wingdings" w:hint="default"/>
      </w:rPr>
    </w:lvl>
    <w:lvl w:ilvl="6" w:tplc="FF8C5AE0" w:tentative="1">
      <w:start w:val="1"/>
      <w:numFmt w:val="bullet"/>
      <w:lvlText w:val=""/>
      <w:lvlJc w:val="left"/>
      <w:pPr>
        <w:ind w:left="5040" w:hanging="360"/>
      </w:pPr>
      <w:rPr>
        <w:rFonts w:ascii="Symbol" w:hAnsi="Symbol" w:hint="default"/>
      </w:rPr>
    </w:lvl>
    <w:lvl w:ilvl="7" w:tplc="C86213F8" w:tentative="1">
      <w:start w:val="1"/>
      <w:numFmt w:val="bullet"/>
      <w:lvlText w:val="o"/>
      <w:lvlJc w:val="left"/>
      <w:pPr>
        <w:ind w:left="5760" w:hanging="360"/>
      </w:pPr>
      <w:rPr>
        <w:rFonts w:ascii="Courier New" w:hAnsi="Courier New" w:cs="Courier New" w:hint="default"/>
      </w:rPr>
    </w:lvl>
    <w:lvl w:ilvl="8" w:tplc="96F4B6E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CBF"/>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08C3"/>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4CD"/>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FC6"/>
    <w:rsid w:val="002E7DF9"/>
    <w:rsid w:val="002F097B"/>
    <w:rsid w:val="002F3111"/>
    <w:rsid w:val="002F4AEC"/>
    <w:rsid w:val="002F6067"/>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2A4"/>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2E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17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4FC4"/>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7A0"/>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4C4"/>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23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220"/>
    <w:rsid w:val="008347A9"/>
    <w:rsid w:val="00835628"/>
    <w:rsid w:val="00835E90"/>
    <w:rsid w:val="0084176D"/>
    <w:rsid w:val="008423E4"/>
    <w:rsid w:val="00842900"/>
    <w:rsid w:val="00842A0B"/>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86E"/>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66B"/>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833"/>
    <w:rsid w:val="00917E0C"/>
    <w:rsid w:val="00920414"/>
    <w:rsid w:val="00920711"/>
    <w:rsid w:val="00921A1E"/>
    <w:rsid w:val="00924EA9"/>
    <w:rsid w:val="00925CE1"/>
    <w:rsid w:val="00925F5C"/>
    <w:rsid w:val="00930897"/>
    <w:rsid w:val="00930AD9"/>
    <w:rsid w:val="009320D2"/>
    <w:rsid w:val="00932C77"/>
    <w:rsid w:val="0093417F"/>
    <w:rsid w:val="00934AC2"/>
    <w:rsid w:val="009375BB"/>
    <w:rsid w:val="009418E9"/>
    <w:rsid w:val="00944AB3"/>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6FAE"/>
    <w:rsid w:val="00A0042D"/>
    <w:rsid w:val="00A0053A"/>
    <w:rsid w:val="00A00C33"/>
    <w:rsid w:val="00A01103"/>
    <w:rsid w:val="00A012C0"/>
    <w:rsid w:val="00A014BB"/>
    <w:rsid w:val="00A01E10"/>
    <w:rsid w:val="00A02D81"/>
    <w:rsid w:val="00A03F54"/>
    <w:rsid w:val="00A0432D"/>
    <w:rsid w:val="00A06C15"/>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BB7"/>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0C26"/>
    <w:rsid w:val="00AC2E9A"/>
    <w:rsid w:val="00AC5AAB"/>
    <w:rsid w:val="00AC5AEC"/>
    <w:rsid w:val="00AC5F28"/>
    <w:rsid w:val="00AC6900"/>
    <w:rsid w:val="00AC6A39"/>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AF1"/>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4C2"/>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EF9"/>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122"/>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F7F"/>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D7E00"/>
    <w:rsid w:val="00DE34B2"/>
    <w:rsid w:val="00DE49DE"/>
    <w:rsid w:val="00DE60A5"/>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E8D"/>
    <w:rsid w:val="00E51446"/>
    <w:rsid w:val="00E529C8"/>
    <w:rsid w:val="00E55DA0"/>
    <w:rsid w:val="00E56033"/>
    <w:rsid w:val="00E61159"/>
    <w:rsid w:val="00E625DA"/>
    <w:rsid w:val="00E634DC"/>
    <w:rsid w:val="00E667F3"/>
    <w:rsid w:val="00E67794"/>
    <w:rsid w:val="00E70CC6"/>
    <w:rsid w:val="00E71254"/>
    <w:rsid w:val="00E7315F"/>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684F"/>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DE6"/>
    <w:rsid w:val="00F15223"/>
    <w:rsid w:val="00F164B4"/>
    <w:rsid w:val="00F176E4"/>
    <w:rsid w:val="00F20E5F"/>
    <w:rsid w:val="00F24FF9"/>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29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5A9"/>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BA1ED-3F4E-4586-BCB6-895D15E0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0E8D"/>
    <w:rPr>
      <w:sz w:val="16"/>
      <w:szCs w:val="16"/>
    </w:rPr>
  </w:style>
  <w:style w:type="paragraph" w:styleId="CommentText">
    <w:name w:val="annotation text"/>
    <w:basedOn w:val="Normal"/>
    <w:link w:val="CommentTextChar"/>
    <w:semiHidden/>
    <w:unhideWhenUsed/>
    <w:rsid w:val="00E50E8D"/>
    <w:rPr>
      <w:sz w:val="20"/>
      <w:szCs w:val="20"/>
    </w:rPr>
  </w:style>
  <w:style w:type="character" w:customStyle="1" w:styleId="CommentTextChar">
    <w:name w:val="Comment Text Char"/>
    <w:basedOn w:val="DefaultParagraphFont"/>
    <w:link w:val="CommentText"/>
    <w:semiHidden/>
    <w:rsid w:val="00E50E8D"/>
  </w:style>
  <w:style w:type="paragraph" w:styleId="CommentSubject">
    <w:name w:val="annotation subject"/>
    <w:basedOn w:val="CommentText"/>
    <w:next w:val="CommentText"/>
    <w:link w:val="CommentSubjectChar"/>
    <w:semiHidden/>
    <w:unhideWhenUsed/>
    <w:rsid w:val="00E50E8D"/>
    <w:rPr>
      <w:b/>
      <w:bCs/>
    </w:rPr>
  </w:style>
  <w:style w:type="character" w:customStyle="1" w:styleId="CommentSubjectChar">
    <w:name w:val="Comment Subject Char"/>
    <w:basedOn w:val="CommentTextChar"/>
    <w:link w:val="CommentSubject"/>
    <w:semiHidden/>
    <w:rsid w:val="00E50E8D"/>
    <w:rPr>
      <w:b/>
      <w:bCs/>
    </w:rPr>
  </w:style>
  <w:style w:type="paragraph" w:styleId="Revision">
    <w:name w:val="Revision"/>
    <w:hidden/>
    <w:uiPriority w:val="99"/>
    <w:semiHidden/>
    <w:rsid w:val="00E50E8D"/>
    <w:rPr>
      <w:sz w:val="24"/>
      <w:szCs w:val="24"/>
    </w:rPr>
  </w:style>
  <w:style w:type="paragraph" w:styleId="ListParagraph">
    <w:name w:val="List Paragraph"/>
    <w:basedOn w:val="Normal"/>
    <w:uiPriority w:val="34"/>
    <w:qFormat/>
    <w:rsid w:val="0028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3331</Characters>
  <Application>Microsoft Office Word</Application>
  <DocSecurity>4</DocSecurity>
  <Lines>88</Lines>
  <Paragraphs>41</Paragraphs>
  <ScaleCrop>false</ScaleCrop>
  <HeadingPairs>
    <vt:vector size="2" baseType="variant">
      <vt:variant>
        <vt:lpstr>Title</vt:lpstr>
      </vt:variant>
      <vt:variant>
        <vt:i4>1</vt:i4>
      </vt:variant>
    </vt:vector>
  </HeadingPairs>
  <TitlesOfParts>
    <vt:vector size="1" baseType="lpstr">
      <vt:lpstr>BA - HB01530 (Committee Report (Substituted))</vt:lpstr>
    </vt:vector>
  </TitlesOfParts>
  <Company>State of Texas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24491</dc:subject>
  <dc:creator>State of Texas</dc:creator>
  <dc:description>HB 1530 by Murphy-(H)Higher Education (Substitute Document Number: 87R 18557)</dc:description>
  <cp:lastModifiedBy>Lauren Bustamante</cp:lastModifiedBy>
  <cp:revision>2</cp:revision>
  <cp:lastPrinted>2003-11-26T17:21:00Z</cp:lastPrinted>
  <dcterms:created xsi:type="dcterms:W3CDTF">2021-05-04T23:20:00Z</dcterms:created>
  <dcterms:modified xsi:type="dcterms:W3CDTF">2021-05-04T23:20:00Z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21.124.621</vt:lpwstr>
  </property>
</Properties>
</file>