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7BDB" w14:paraId="38C9ABD7" w14:textId="77777777" w:rsidTr="00345119">
        <w:tc>
          <w:tcPr>
            <w:tcW w:w="9576" w:type="dxa"/>
            <w:noWrap/>
          </w:tcPr>
          <w:p w14:paraId="563134F6" w14:textId="77777777" w:rsidR="008423E4" w:rsidRPr="0022177D" w:rsidRDefault="00633E61" w:rsidP="00F53DD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D23538" w14:textId="77777777" w:rsidR="008423E4" w:rsidRPr="0022177D" w:rsidRDefault="008423E4" w:rsidP="00F53DD2">
      <w:pPr>
        <w:jc w:val="center"/>
      </w:pPr>
    </w:p>
    <w:p w14:paraId="3A505E37" w14:textId="77777777" w:rsidR="008423E4" w:rsidRPr="00B31F0E" w:rsidRDefault="008423E4" w:rsidP="00F53DD2"/>
    <w:p w14:paraId="383B38A6" w14:textId="77777777" w:rsidR="008423E4" w:rsidRPr="00742794" w:rsidRDefault="008423E4" w:rsidP="00F53DD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7BDB" w14:paraId="39AF964D" w14:textId="77777777" w:rsidTr="00345119">
        <w:tc>
          <w:tcPr>
            <w:tcW w:w="9576" w:type="dxa"/>
          </w:tcPr>
          <w:p w14:paraId="52F91BE2" w14:textId="6CF7367C" w:rsidR="008423E4" w:rsidRPr="00861995" w:rsidRDefault="00633E61" w:rsidP="00F53DD2">
            <w:pPr>
              <w:jc w:val="right"/>
            </w:pPr>
            <w:r>
              <w:t>H.B. 1535</w:t>
            </w:r>
          </w:p>
        </w:tc>
      </w:tr>
      <w:tr w:rsidR="00657BDB" w14:paraId="687738AE" w14:textId="77777777" w:rsidTr="00345119">
        <w:tc>
          <w:tcPr>
            <w:tcW w:w="9576" w:type="dxa"/>
          </w:tcPr>
          <w:p w14:paraId="2025E2B7" w14:textId="531C4F38" w:rsidR="008423E4" w:rsidRPr="00861995" w:rsidRDefault="00633E61" w:rsidP="00F53DD2">
            <w:pPr>
              <w:jc w:val="right"/>
            </w:pPr>
            <w:r>
              <w:t xml:space="preserve">By: </w:t>
            </w:r>
            <w:r w:rsidR="003B5D74">
              <w:t>Klick</w:t>
            </w:r>
          </w:p>
        </w:tc>
      </w:tr>
      <w:tr w:rsidR="00657BDB" w14:paraId="1558E719" w14:textId="77777777" w:rsidTr="00345119">
        <w:tc>
          <w:tcPr>
            <w:tcW w:w="9576" w:type="dxa"/>
          </w:tcPr>
          <w:p w14:paraId="40C65FE0" w14:textId="41215618" w:rsidR="008423E4" w:rsidRPr="00861995" w:rsidRDefault="00633E61" w:rsidP="00F53DD2">
            <w:pPr>
              <w:jc w:val="right"/>
            </w:pPr>
            <w:r>
              <w:t>Public Health</w:t>
            </w:r>
          </w:p>
        </w:tc>
      </w:tr>
      <w:tr w:rsidR="00657BDB" w14:paraId="226DE572" w14:textId="77777777" w:rsidTr="00345119">
        <w:tc>
          <w:tcPr>
            <w:tcW w:w="9576" w:type="dxa"/>
          </w:tcPr>
          <w:p w14:paraId="0EA671F1" w14:textId="09D173C8" w:rsidR="008423E4" w:rsidRDefault="00633E61" w:rsidP="00F53DD2">
            <w:pPr>
              <w:jc w:val="right"/>
            </w:pPr>
            <w:r>
              <w:t>Committee Report (Unamended)</w:t>
            </w:r>
          </w:p>
        </w:tc>
      </w:tr>
    </w:tbl>
    <w:p w14:paraId="6D081769" w14:textId="77777777" w:rsidR="008423E4" w:rsidRDefault="008423E4" w:rsidP="00F53DD2">
      <w:pPr>
        <w:tabs>
          <w:tab w:val="right" w:pos="9360"/>
        </w:tabs>
      </w:pPr>
    </w:p>
    <w:p w14:paraId="6A76FE8B" w14:textId="77777777" w:rsidR="008423E4" w:rsidRDefault="008423E4" w:rsidP="00F53DD2"/>
    <w:p w14:paraId="72100DCF" w14:textId="77777777" w:rsidR="008423E4" w:rsidRDefault="008423E4" w:rsidP="00F53DD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7BDB" w14:paraId="32B4371C" w14:textId="77777777" w:rsidTr="00345119">
        <w:tc>
          <w:tcPr>
            <w:tcW w:w="9576" w:type="dxa"/>
          </w:tcPr>
          <w:p w14:paraId="6CEEACF1" w14:textId="77777777" w:rsidR="008423E4" w:rsidRPr="00A8133F" w:rsidRDefault="00633E61" w:rsidP="00F53D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B6D8560" w14:textId="77777777" w:rsidR="008423E4" w:rsidRDefault="008423E4" w:rsidP="00F53DD2"/>
          <w:p w14:paraId="3749FB0A" w14:textId="3A80FEE0" w:rsidR="00DA697F" w:rsidRDefault="00633E61" w:rsidP="00F53DD2">
            <w:pPr>
              <w:pStyle w:val="Header"/>
              <w:jc w:val="both"/>
            </w:pPr>
            <w:r>
              <w:t>There have been calls to make certain u</w:t>
            </w:r>
            <w:r w:rsidR="004A4A47">
              <w:t xml:space="preserve">pdates to the </w:t>
            </w:r>
            <w:r>
              <w:t xml:space="preserve">Texas </w:t>
            </w:r>
            <w:r w:rsidR="004A4A47">
              <w:t>Compassionate</w:t>
            </w:r>
            <w:r>
              <w:t>-</w:t>
            </w:r>
            <w:r w:rsidR="004A4A47">
              <w:t xml:space="preserve">Use </w:t>
            </w:r>
            <w:r>
              <w:t>Act and</w:t>
            </w:r>
            <w:r w:rsidR="00BC5A92">
              <w:t xml:space="preserve"> to make more medical conditions eligible for treatment using</w:t>
            </w:r>
            <w:r>
              <w:t xml:space="preserve"> low-THC </w:t>
            </w:r>
            <w:r w:rsidR="00BC5A92">
              <w:t xml:space="preserve">cannabis. </w:t>
            </w:r>
            <w:r w:rsidR="00C2622D">
              <w:t>Furthermore</w:t>
            </w:r>
            <w:r w:rsidR="00BC5A92">
              <w:t>, it has been suggested that m</w:t>
            </w:r>
            <w:r w:rsidR="004A4A47">
              <w:t>ore research is needed to</w:t>
            </w:r>
            <w:r w:rsidR="009316F7">
              <w:t xml:space="preserve"> </w:t>
            </w:r>
            <w:r w:rsidR="000E22ED">
              <w:t xml:space="preserve">help </w:t>
            </w:r>
            <w:r w:rsidR="009316F7">
              <w:t>better</w:t>
            </w:r>
            <w:r w:rsidR="004A4A47">
              <w:t xml:space="preserve"> understand the </w:t>
            </w:r>
            <w:r w:rsidR="000E22ED">
              <w:t>potential</w:t>
            </w:r>
            <w:r w:rsidR="004A4A47">
              <w:t xml:space="preserve"> benefits of</w:t>
            </w:r>
            <w:r w:rsidR="000E22ED">
              <w:t xml:space="preserve"> the medical use of low-THC</w:t>
            </w:r>
            <w:r w:rsidR="004A4A47">
              <w:t xml:space="preserve"> cannabis</w:t>
            </w:r>
            <w:r w:rsidR="009316F7">
              <w:t xml:space="preserve">. </w:t>
            </w:r>
            <w:r w:rsidR="004A4A47">
              <w:t>H</w:t>
            </w:r>
            <w:r w:rsidR="009316F7">
              <w:t>.</w:t>
            </w:r>
            <w:r w:rsidR="004A4A47">
              <w:t>B</w:t>
            </w:r>
            <w:r w:rsidR="009316F7">
              <w:t>.</w:t>
            </w:r>
            <w:r w:rsidR="004A4A47">
              <w:t xml:space="preserve"> 1535</w:t>
            </w:r>
            <w:r w:rsidR="009316F7">
              <w:t xml:space="preserve"> seeks to address these issues by</w:t>
            </w:r>
            <w:r w:rsidR="004A4A47">
              <w:t xml:space="preserve"> </w:t>
            </w:r>
            <w:r w:rsidR="009316F7">
              <w:t>establishing</w:t>
            </w:r>
            <w:r w:rsidR="004A4A47">
              <w:t xml:space="preserve"> </w:t>
            </w:r>
            <w:r w:rsidR="009316F7" w:rsidRPr="00DA697F">
              <w:t>compassionate-use institutional review boards to evaluate and approve proposed</w:t>
            </w:r>
            <w:r w:rsidR="009316F7">
              <w:t xml:space="preserve"> </w:t>
            </w:r>
            <w:r w:rsidR="004A4A47">
              <w:t>research program</w:t>
            </w:r>
            <w:r w:rsidR="009316F7">
              <w:t>s</w:t>
            </w:r>
            <w:r w:rsidR="004A4A47">
              <w:t xml:space="preserve"> </w:t>
            </w:r>
            <w:r w:rsidR="009316F7">
              <w:t>to study the</w:t>
            </w:r>
            <w:r w:rsidR="004A4A47">
              <w:t xml:space="preserve"> medical</w:t>
            </w:r>
            <w:r w:rsidR="009316F7">
              <w:t xml:space="preserve"> use of low-THC</w:t>
            </w:r>
            <w:r w:rsidR="004A4A47">
              <w:t xml:space="preserve"> cannabis</w:t>
            </w:r>
            <w:r w:rsidR="009316F7">
              <w:t xml:space="preserve"> in the treatment of certain patients and by expand</w:t>
            </w:r>
            <w:r w:rsidR="000E22ED">
              <w:t xml:space="preserve">ing those medical </w:t>
            </w:r>
            <w:r w:rsidR="004A4A47">
              <w:t>conditions</w:t>
            </w:r>
            <w:r w:rsidR="00930468">
              <w:t xml:space="preserve"> eligible</w:t>
            </w:r>
            <w:r w:rsidR="004A4A47">
              <w:t xml:space="preserve"> </w:t>
            </w:r>
            <w:r w:rsidR="000E22ED">
              <w:t>for such treatment.</w:t>
            </w:r>
          </w:p>
          <w:p w14:paraId="1A972006" w14:textId="77777777" w:rsidR="008423E4" w:rsidRPr="00E26B13" w:rsidRDefault="008423E4" w:rsidP="00F53DD2">
            <w:pPr>
              <w:rPr>
                <w:b/>
              </w:rPr>
            </w:pPr>
          </w:p>
        </w:tc>
      </w:tr>
      <w:tr w:rsidR="00657BDB" w14:paraId="6327D2B7" w14:textId="77777777" w:rsidTr="00345119">
        <w:tc>
          <w:tcPr>
            <w:tcW w:w="9576" w:type="dxa"/>
          </w:tcPr>
          <w:p w14:paraId="46B2F81A" w14:textId="77777777" w:rsidR="0017725B" w:rsidRDefault="00633E61" w:rsidP="00F53D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E4C97F" w14:textId="77777777" w:rsidR="0017725B" w:rsidRDefault="0017725B" w:rsidP="00F53DD2">
            <w:pPr>
              <w:rPr>
                <w:b/>
                <w:u w:val="single"/>
              </w:rPr>
            </w:pPr>
          </w:p>
          <w:p w14:paraId="1612F4FD" w14:textId="77777777" w:rsidR="00E23DCF" w:rsidRPr="00E23DCF" w:rsidRDefault="00633E61" w:rsidP="00F53DD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704D5E4E" w14:textId="77777777" w:rsidR="0017725B" w:rsidRPr="0017725B" w:rsidRDefault="0017725B" w:rsidP="00F53DD2">
            <w:pPr>
              <w:rPr>
                <w:b/>
                <w:u w:val="single"/>
              </w:rPr>
            </w:pPr>
          </w:p>
        </w:tc>
      </w:tr>
      <w:tr w:rsidR="00657BDB" w14:paraId="5A379688" w14:textId="77777777" w:rsidTr="00345119">
        <w:tc>
          <w:tcPr>
            <w:tcW w:w="9576" w:type="dxa"/>
          </w:tcPr>
          <w:p w14:paraId="09CBA467" w14:textId="77777777" w:rsidR="008423E4" w:rsidRPr="00A8133F" w:rsidRDefault="00633E61" w:rsidP="00F53D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6EC8CD" w14:textId="77777777" w:rsidR="008423E4" w:rsidRDefault="008423E4" w:rsidP="00F53DD2"/>
          <w:p w14:paraId="091A41F5" w14:textId="1D030AB8" w:rsidR="00E23DCF" w:rsidRDefault="00633E61" w:rsidP="00F53D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035F7A" w:rsidRPr="00824AFC">
              <w:t>executive commissioner of the Health and Human Services Commission</w:t>
            </w:r>
            <w:r w:rsidR="00035F7A">
              <w:t xml:space="preserve"> and the Texas Medical Board</w:t>
            </w:r>
            <w:r>
              <w:t xml:space="preserve"> in </w:t>
            </w:r>
            <w:r w:rsidR="00035F7A">
              <w:t>SECTION 1</w:t>
            </w:r>
            <w:r>
              <w:t xml:space="preserve"> of this bill</w:t>
            </w:r>
            <w:r w:rsidR="00035F7A">
              <w:t xml:space="preserve">, to the Department of State Health Services in SECTION 4 of this bill, and to </w:t>
            </w:r>
            <w:r w:rsidR="00035F7A" w:rsidRPr="00035F7A">
              <w:t>the public safety director of the Department of Public Safety</w:t>
            </w:r>
            <w:r w:rsidR="00035F7A">
              <w:t xml:space="preserve"> in SECTION 6 of this bill</w:t>
            </w:r>
            <w:r>
              <w:t>.</w:t>
            </w:r>
          </w:p>
          <w:p w14:paraId="4F61138B" w14:textId="77777777" w:rsidR="008423E4" w:rsidRPr="00E21FDC" w:rsidRDefault="008423E4" w:rsidP="00F53DD2">
            <w:pPr>
              <w:rPr>
                <w:b/>
              </w:rPr>
            </w:pPr>
          </w:p>
        </w:tc>
      </w:tr>
      <w:tr w:rsidR="00657BDB" w14:paraId="08238662" w14:textId="77777777" w:rsidTr="00345119">
        <w:tc>
          <w:tcPr>
            <w:tcW w:w="9576" w:type="dxa"/>
          </w:tcPr>
          <w:p w14:paraId="2196D3D9" w14:textId="77777777" w:rsidR="008423E4" w:rsidRPr="00A8133F" w:rsidRDefault="00633E61" w:rsidP="00F53D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49E9A6" w14:textId="77777777" w:rsidR="008423E4" w:rsidRDefault="008423E4" w:rsidP="00F53DD2"/>
          <w:p w14:paraId="58955986" w14:textId="77777777" w:rsidR="00824AFC" w:rsidRDefault="00633E61" w:rsidP="00F53DD2">
            <w:pPr>
              <w:pStyle w:val="Header"/>
              <w:jc w:val="both"/>
            </w:pPr>
            <w:r>
              <w:t>H.B. 1535</w:t>
            </w:r>
            <w:r w:rsidR="008C2C47">
              <w:t xml:space="preserve"> amends the </w:t>
            </w:r>
            <w:r w:rsidR="008C2C47" w:rsidRPr="008C2C47">
              <w:t>Health and Safety Code</w:t>
            </w:r>
            <w:r w:rsidR="008C2C47">
              <w:t xml:space="preserve"> to </w:t>
            </w:r>
            <w:r>
              <w:t>authorize the establishment of one or more compassionate-use institutional review boards to do the following:</w:t>
            </w:r>
          </w:p>
          <w:p w14:paraId="749849CF" w14:textId="77777777" w:rsidR="00824AFC" w:rsidRDefault="00633E61" w:rsidP="00F53DD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evaluate and approve proposed research programs to study the medical use of low-THC cannabis in treating a medical condition de</w:t>
            </w:r>
            <w:r>
              <w:t xml:space="preserve">signated by applicable rule of </w:t>
            </w:r>
            <w:r w:rsidRPr="00824AFC">
              <w:t>the executive commissioner of the Health and Human Services Commission (HHSC)</w:t>
            </w:r>
            <w:r>
              <w:t>; and</w:t>
            </w:r>
          </w:p>
          <w:p w14:paraId="11548C21" w14:textId="77777777" w:rsidR="00824AFC" w:rsidRDefault="00633E61" w:rsidP="00F53DD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oversee patient treatment undertaken as part of an approved research program, including the certification of treating physicians.</w:t>
            </w:r>
          </w:p>
          <w:p w14:paraId="73908043" w14:textId="77777777" w:rsidR="00824AFC" w:rsidRDefault="00633E61" w:rsidP="00F53DD2">
            <w:pPr>
              <w:pStyle w:val="Header"/>
              <w:jc w:val="both"/>
            </w:pPr>
            <w:r>
              <w:t>An instituti</w:t>
            </w:r>
            <w:r>
              <w:t>onal review board must be affiliated with a dispensing organization and</w:t>
            </w:r>
            <w:r w:rsidR="000E593E">
              <w:t xml:space="preserve"> meet one of the following</w:t>
            </w:r>
            <w:r>
              <w:t xml:space="preserve"> conditions</w:t>
            </w:r>
            <w:r w:rsidR="000E593E">
              <w:t>:</w:t>
            </w:r>
          </w:p>
          <w:p w14:paraId="099585FA" w14:textId="77777777" w:rsidR="007074CD" w:rsidRDefault="00633E61" w:rsidP="00F53D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be affiliated with a medical school;</w:t>
            </w:r>
          </w:p>
          <w:p w14:paraId="48417035" w14:textId="77777777" w:rsidR="000E593E" w:rsidRDefault="00633E61" w:rsidP="00F53D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be affiliated with a hospital licensed under </w:t>
            </w:r>
            <w:r w:rsidR="007074CD" w:rsidRPr="007074CD">
              <w:t>the Texas Hospital Licensing Law</w:t>
            </w:r>
            <w:r>
              <w:t xml:space="preserve"> that has at least 150 beds;</w:t>
            </w:r>
          </w:p>
          <w:p w14:paraId="117A776D" w14:textId="77777777" w:rsidR="000E593E" w:rsidRDefault="00633E61" w:rsidP="00F53D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be </w:t>
            </w:r>
            <w:r>
              <w:t>accredited by the Association for the Accreditation of Human Research Protection Programs;</w:t>
            </w:r>
          </w:p>
          <w:p w14:paraId="22443FBB" w14:textId="77777777" w:rsidR="000E593E" w:rsidRDefault="00633E61" w:rsidP="00F53D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be registered by the U</w:t>
            </w:r>
            <w:r w:rsidR="007074CD">
              <w:t>.</w:t>
            </w:r>
            <w:r>
              <w:t>S</w:t>
            </w:r>
            <w:r w:rsidR="007074CD">
              <w:t>.</w:t>
            </w:r>
            <w:r>
              <w:t xml:space="preserve"> Department of Health and Human Services, Office for Human Research Protections, in accordance with </w:t>
            </w:r>
            <w:r w:rsidR="007074CD">
              <w:t>federal regulations</w:t>
            </w:r>
            <w:r>
              <w:t>; or</w:t>
            </w:r>
          </w:p>
          <w:p w14:paraId="2F4DA614" w14:textId="77777777" w:rsidR="000E593E" w:rsidRDefault="00633E61" w:rsidP="00F53D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be accredited by</w:t>
            </w:r>
            <w:r>
              <w:t xml:space="preserve"> a national accreditation organization acceptable to the Texas Medical Board</w:t>
            </w:r>
            <w:r w:rsidR="00542590">
              <w:t xml:space="preserve"> (</w:t>
            </w:r>
            <w:r w:rsidR="00542590" w:rsidRPr="00542590">
              <w:t>TMB)</w:t>
            </w:r>
            <w:r>
              <w:t>.</w:t>
            </w:r>
          </w:p>
          <w:p w14:paraId="50E90922" w14:textId="13B2E8E8" w:rsidR="00824AFC" w:rsidRDefault="00824AFC" w:rsidP="00F53DD2">
            <w:pPr>
              <w:pStyle w:val="Header"/>
              <w:jc w:val="both"/>
            </w:pPr>
          </w:p>
          <w:p w14:paraId="519DC168" w14:textId="550F7F48" w:rsidR="002A1BF9" w:rsidRDefault="00633E61" w:rsidP="00F53DD2">
            <w:pPr>
              <w:pStyle w:val="Header"/>
              <w:jc w:val="both"/>
            </w:pPr>
            <w:r>
              <w:t>H.B. 1535 requires each institutional review board to submit written reports that describe and assess the research findings of each approved research program to HHSC not l</w:t>
            </w:r>
            <w:r>
              <w:t>ater than October</w:t>
            </w:r>
            <w:r w:rsidR="00F50281">
              <w:t> </w:t>
            </w:r>
            <w:r>
              <w:t>1 of each year and to the legislature not later than October 1 of each even-numbered year.</w:t>
            </w:r>
          </w:p>
          <w:p w14:paraId="3BC44446" w14:textId="77777777" w:rsidR="002A1BF9" w:rsidRDefault="002A1BF9" w:rsidP="00F53DD2">
            <w:pPr>
              <w:pStyle w:val="Header"/>
              <w:jc w:val="both"/>
            </w:pPr>
          </w:p>
          <w:p w14:paraId="07733898" w14:textId="1203D1C5" w:rsidR="007B25F7" w:rsidRDefault="00633E61" w:rsidP="00F53DD2">
            <w:pPr>
              <w:pStyle w:val="Header"/>
              <w:jc w:val="both"/>
            </w:pPr>
            <w:r>
              <w:t xml:space="preserve">H.B. 1535 </w:t>
            </w:r>
            <w:r w:rsidR="00CE5A9B">
              <w:t xml:space="preserve">limits </w:t>
            </w:r>
            <w:r>
              <w:t>pa</w:t>
            </w:r>
            <w:r w:rsidR="00F16F8E">
              <w:t>tient treatment provided as part of an approved research program</w:t>
            </w:r>
            <w:r>
              <w:t xml:space="preserve"> to </w:t>
            </w:r>
            <w:r w:rsidR="00CE5A9B">
              <w:t xml:space="preserve">treatment </w:t>
            </w:r>
            <w:r>
              <w:t>administered by</w:t>
            </w:r>
            <w:r w:rsidR="00F16F8E">
              <w:t xml:space="preserve"> a physician certified by an institutional review board to participate in the program</w:t>
            </w:r>
            <w:r w:rsidR="00CD4CC4">
              <w:t xml:space="preserve"> and requires a</w:t>
            </w:r>
            <w:r w:rsidR="00F16F8E">
              <w:t xml:space="preserve"> patient participating in a research program </w:t>
            </w:r>
            <w:r w:rsidR="00223EDC">
              <w:t xml:space="preserve">to </w:t>
            </w:r>
            <w:r w:rsidR="00F16F8E">
              <w:t xml:space="preserve">be a permanent </w:t>
            </w:r>
            <w:r>
              <w:t xml:space="preserve">Texas </w:t>
            </w:r>
            <w:r w:rsidR="00F16F8E">
              <w:t>resident.</w:t>
            </w:r>
            <w:r>
              <w:t xml:space="preserve"> </w:t>
            </w:r>
            <w:r w:rsidR="00332DDC">
              <w:t xml:space="preserve">The bill authorizes the </w:t>
            </w:r>
            <w:r w:rsidR="00332DDC" w:rsidRPr="00542590">
              <w:t>TMB</w:t>
            </w:r>
            <w:r w:rsidR="00332DDC">
              <w:t xml:space="preserve"> to adopt rules regarding the certification of a physician by an institutional review board.</w:t>
            </w:r>
          </w:p>
          <w:p w14:paraId="1D9D1380" w14:textId="77777777" w:rsidR="007B25F7" w:rsidRDefault="007B25F7" w:rsidP="00F53DD2">
            <w:pPr>
              <w:pStyle w:val="Header"/>
              <w:jc w:val="both"/>
            </w:pPr>
          </w:p>
          <w:p w14:paraId="17103C37" w14:textId="2C001045" w:rsidR="00F16F8E" w:rsidRDefault="00633E61" w:rsidP="00F53DD2">
            <w:pPr>
              <w:pStyle w:val="Header"/>
              <w:jc w:val="both"/>
            </w:pPr>
            <w:r>
              <w:t xml:space="preserve">H.B. 1535 requires each patient to sign </w:t>
            </w:r>
            <w:r w:rsidR="007F7DAB">
              <w:t>a written informed consent form</w:t>
            </w:r>
            <w:r>
              <w:t xml:space="preserve"> before receiving treatment under an approved research program. If the patient is a minor or lacks the mental capacity to provide informed consent, a parent, guardian, or cons</w:t>
            </w:r>
            <w:r>
              <w:t>ervator may provide informed consent on the patient's behalf.</w:t>
            </w:r>
            <w:r w:rsidR="007F7DAB">
              <w:t xml:space="preserve"> </w:t>
            </w:r>
            <w:r w:rsidR="00223EDC">
              <w:t>The bill authorizes a</w:t>
            </w:r>
            <w:r>
              <w:t xml:space="preserve">n institutional review board overseeing a research program </w:t>
            </w:r>
            <w:r w:rsidR="00223EDC">
              <w:t>to</w:t>
            </w:r>
            <w:r>
              <w:t xml:space="preserve"> adopt a form to be used for the informed consent.</w:t>
            </w:r>
          </w:p>
          <w:p w14:paraId="64E2BBCE" w14:textId="77777777" w:rsidR="00542590" w:rsidRDefault="00542590" w:rsidP="00F53DD2">
            <w:pPr>
              <w:pStyle w:val="Header"/>
              <w:jc w:val="both"/>
            </w:pPr>
          </w:p>
          <w:p w14:paraId="4D7E726D" w14:textId="37932BAA" w:rsidR="00542590" w:rsidRDefault="00633E61" w:rsidP="00F53DD2">
            <w:pPr>
              <w:pStyle w:val="Header"/>
              <w:jc w:val="both"/>
            </w:pPr>
            <w:r>
              <w:t xml:space="preserve">H.B. 1535 requires the executive commissioner </w:t>
            </w:r>
            <w:r w:rsidRPr="00CD0D7A">
              <w:t xml:space="preserve">of </w:t>
            </w:r>
            <w:r>
              <w:t>HHSC</w:t>
            </w:r>
            <w:r w:rsidR="006200AD">
              <w:t>, n</w:t>
            </w:r>
            <w:r w:rsidR="006200AD" w:rsidRPr="006200AD">
              <w:t>ot later than December 1, 2021,</w:t>
            </w:r>
            <w:r>
              <w:t xml:space="preserve"> to adopt all necessary rules to implement provisions relating to </w:t>
            </w:r>
            <w:r w:rsidRPr="00CD0D7A">
              <w:t>compassionate-use research and reporting</w:t>
            </w:r>
            <w:r>
              <w:t xml:space="preserve">, including rules designating the medical conditions for which a patient may be treated with low-THC cannabis as part of an approved research program conducted under </w:t>
            </w:r>
            <w:r w:rsidR="00C34715">
              <w:t>those</w:t>
            </w:r>
            <w:r>
              <w:t xml:space="preserve"> provisions.</w:t>
            </w:r>
          </w:p>
          <w:p w14:paraId="2E56ADA3" w14:textId="44C538B2" w:rsidR="00C34715" w:rsidRDefault="00C34715" w:rsidP="00F53DD2">
            <w:pPr>
              <w:pStyle w:val="Header"/>
              <w:jc w:val="both"/>
            </w:pPr>
          </w:p>
          <w:p w14:paraId="5D1CE9BE" w14:textId="23FEDBF8" w:rsidR="00C34715" w:rsidRDefault="00633E61" w:rsidP="00F53DD2">
            <w:pPr>
              <w:pStyle w:val="Header"/>
              <w:jc w:val="both"/>
            </w:pPr>
            <w:r>
              <w:t>H.B. 1535</w:t>
            </w:r>
            <w:r w:rsidR="00F461D5">
              <w:t xml:space="preserve"> </w:t>
            </w:r>
            <w:r w:rsidR="00F461D5" w:rsidRPr="00F461D5">
              <w:t xml:space="preserve">amends the Occupations Code to increase from one-half of one percent to </w:t>
            </w:r>
            <w:r w:rsidR="00DC4CFD">
              <w:t>five</w:t>
            </w:r>
            <w:r w:rsidR="00F461D5" w:rsidRPr="00F461D5">
              <w:t xml:space="preserve"> percent the maximum percent by weight of THC allowable in cannabis for that cannabis to be considered low-THC for purposes of prescribing low-THC cannabis to certain patients for compassionate use.</w:t>
            </w:r>
            <w:r w:rsidR="00F461D5">
              <w:t xml:space="preserve"> </w:t>
            </w:r>
            <w:r w:rsidR="00F461D5" w:rsidRPr="00F461D5">
              <w:t xml:space="preserve">The bill defines "veteran" for </w:t>
            </w:r>
            <w:r w:rsidR="00E36F14">
              <w:t>those</w:t>
            </w:r>
            <w:r w:rsidR="00F461D5">
              <w:t xml:space="preserve"> </w:t>
            </w:r>
            <w:r w:rsidR="00F461D5" w:rsidRPr="00F461D5">
              <w:t>purposes</w:t>
            </w:r>
            <w:r w:rsidR="0000787B">
              <w:t>.</w:t>
            </w:r>
          </w:p>
          <w:p w14:paraId="31AAEE48" w14:textId="77777777" w:rsidR="00AC31F3" w:rsidRDefault="00AC31F3" w:rsidP="00F53DD2">
            <w:pPr>
              <w:pStyle w:val="Header"/>
              <w:jc w:val="both"/>
            </w:pPr>
          </w:p>
          <w:p w14:paraId="4DAF9BA2" w14:textId="541BAC60" w:rsidR="00E36F14" w:rsidRDefault="00633E61" w:rsidP="00F53DD2">
            <w:pPr>
              <w:pStyle w:val="Header"/>
              <w:jc w:val="both"/>
            </w:pPr>
            <w:r>
              <w:t>H.B. 1535 establishes that a physician</w:t>
            </w:r>
            <w:r>
              <w:t xml:space="preserve"> is qualified to prescribe low-THC cannabis for the treatment of a patient with a medical condition approved by executive commissioner rule for treatment in an approved research program conducted under the bill's provisions relating to </w:t>
            </w:r>
            <w:r w:rsidRPr="00CD0D7A">
              <w:t>compassionate-use re</w:t>
            </w:r>
            <w:r w:rsidRPr="00CD0D7A">
              <w:t>search and reporting</w:t>
            </w:r>
            <w:r>
              <w:t xml:space="preserve"> if the physician meets the following criteria:</w:t>
            </w:r>
          </w:p>
          <w:p w14:paraId="7503B4A5" w14:textId="6D316AD3" w:rsidR="00D44558" w:rsidRDefault="00633E61" w:rsidP="00F53DD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is </w:t>
            </w:r>
            <w:r w:rsidR="00AC31F3">
              <w:t xml:space="preserve">certified by a compassionate-use institutional review board created </w:t>
            </w:r>
            <w:r>
              <w:t>under those provisions</w:t>
            </w:r>
            <w:r w:rsidR="00AC31F3">
              <w:t xml:space="preserve"> that oversees patient treatment undertaken as part of that approved research program</w:t>
            </w:r>
            <w:r>
              <w:t xml:space="preserve">; and </w:t>
            </w:r>
          </w:p>
          <w:p w14:paraId="142BC959" w14:textId="6EA2C245" w:rsidR="00D44558" w:rsidRDefault="00633E61" w:rsidP="00F53DD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is </w:t>
            </w:r>
            <w:r>
              <w:t xml:space="preserve">licensed under </w:t>
            </w:r>
            <w:r w:rsidRPr="00E36F14">
              <w:t>the Medical Practice Act</w:t>
            </w:r>
            <w:r>
              <w:t>.</w:t>
            </w:r>
          </w:p>
          <w:p w14:paraId="2D63A9CF" w14:textId="60A5432C" w:rsidR="00F461D5" w:rsidRDefault="00F461D5" w:rsidP="00F53DD2">
            <w:pPr>
              <w:pStyle w:val="Header"/>
              <w:jc w:val="both"/>
            </w:pPr>
          </w:p>
          <w:p w14:paraId="6C19276A" w14:textId="77777777" w:rsidR="00BD6095" w:rsidRDefault="00633E61" w:rsidP="00F53DD2">
            <w:pPr>
              <w:pStyle w:val="Header"/>
              <w:jc w:val="both"/>
            </w:pPr>
            <w:r>
              <w:t>H.B. 1535</w:t>
            </w:r>
            <w:r w:rsidR="00AC31F3">
              <w:t xml:space="preserve"> </w:t>
            </w:r>
            <w:r w:rsidR="00AC31F3" w:rsidRPr="00AC31F3">
              <w:t>expands the medical conditions for which a patient may be prescribed low-THC cannabis for compassionate use to include</w:t>
            </w:r>
            <w:r>
              <w:t xml:space="preserve"> the following:</w:t>
            </w:r>
          </w:p>
          <w:p w14:paraId="1BC21C92" w14:textId="77777777" w:rsidR="00BD6095" w:rsidRDefault="00633E61" w:rsidP="00F53DD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condition that causes acute or chronic pain, for which a physician w</w:t>
            </w:r>
            <w:r>
              <w:t>ould otherwise prescribe an opioid;</w:t>
            </w:r>
          </w:p>
          <w:p w14:paraId="62F89676" w14:textId="1BDC1CE3" w:rsidR="00BD6095" w:rsidRDefault="00633E61" w:rsidP="00F53DD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post-traumatic stress disorder</w:t>
            </w:r>
            <w:r w:rsidR="00326A81">
              <w:t>, for a patient who</w:t>
            </w:r>
            <w:r>
              <w:t xml:space="preserve"> is a veteran;</w:t>
            </w:r>
          </w:p>
          <w:p w14:paraId="128A469A" w14:textId="77777777" w:rsidR="00BD6095" w:rsidRDefault="00633E61" w:rsidP="00F53DD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medical condition that is approved for a research program and for which the patient is receiving treatment under that program; or</w:t>
            </w:r>
          </w:p>
          <w:p w14:paraId="7BD49CA2" w14:textId="155176EC" w:rsidR="00F461D5" w:rsidRDefault="00633E61" w:rsidP="00F53DD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debilitating medical c</w:t>
            </w:r>
            <w:r>
              <w:t>ondition designated by the Department of State Health Services (DSHS).</w:t>
            </w:r>
          </w:p>
          <w:p w14:paraId="57A9C67E" w14:textId="303D7A6E" w:rsidR="00E36F14" w:rsidRDefault="00633E61" w:rsidP="00F53DD2">
            <w:pPr>
              <w:pStyle w:val="Header"/>
              <w:jc w:val="both"/>
            </w:pPr>
            <w:r>
              <w:t xml:space="preserve">The bill </w:t>
            </w:r>
            <w:r w:rsidR="0000787B">
              <w:t>clarifies that a diagnosis of cancer</w:t>
            </w:r>
            <w:r w:rsidR="00474562">
              <w:t xml:space="preserve"> does not have to be</w:t>
            </w:r>
            <w:r w:rsidR="0000787B">
              <w:t xml:space="preserve"> </w:t>
            </w:r>
            <w:r w:rsidR="00474562">
              <w:t xml:space="preserve">a </w:t>
            </w:r>
            <w:r>
              <w:t>t</w:t>
            </w:r>
            <w:r w:rsidRPr="00F461D5">
              <w:t xml:space="preserve">erminal </w:t>
            </w:r>
            <w:r w:rsidR="00474562">
              <w:t>diagnosis</w:t>
            </w:r>
            <w:r>
              <w:t xml:space="preserve"> for</w:t>
            </w:r>
            <w:r w:rsidR="00C54DE7">
              <w:t xml:space="preserve"> purposes of </w:t>
            </w:r>
            <w:r w:rsidR="00474562">
              <w:t>qualifying for such a prescription</w:t>
            </w:r>
            <w:r>
              <w:t>. The bill authorizes DSHS</w:t>
            </w:r>
            <w:r w:rsidRPr="00BD6095">
              <w:t xml:space="preserve"> by rule </w:t>
            </w:r>
            <w:r>
              <w:t>to</w:t>
            </w:r>
            <w:r w:rsidRPr="00BD6095">
              <w:t xml:space="preserve"> designate </w:t>
            </w:r>
            <w:r w:rsidRPr="00BD6095">
              <w:t xml:space="preserve">debilitating medical conditions for which a physician may prescribe low-THC cannabis </w:t>
            </w:r>
            <w:r w:rsidRPr="00AC31F3">
              <w:t>for compassionate use</w:t>
            </w:r>
            <w:r w:rsidRPr="00BD6095">
              <w:t>.</w:t>
            </w:r>
          </w:p>
          <w:p w14:paraId="5A3C1D6B" w14:textId="77777777" w:rsidR="00C54DE7" w:rsidRDefault="00C54DE7" w:rsidP="00F53DD2">
            <w:pPr>
              <w:pStyle w:val="Header"/>
              <w:jc w:val="both"/>
            </w:pPr>
          </w:p>
          <w:p w14:paraId="2287E8B8" w14:textId="3F584468" w:rsidR="00F461D5" w:rsidRDefault="00633E61" w:rsidP="00F53DD2">
            <w:pPr>
              <w:pStyle w:val="Header"/>
              <w:jc w:val="both"/>
            </w:pPr>
            <w:r>
              <w:t xml:space="preserve">H.B. 1535 requires </w:t>
            </w:r>
            <w:r w:rsidRPr="00C54DE7">
              <w:t>the public safety director of the Department of Public Safety</w:t>
            </w:r>
            <w:r>
              <w:t xml:space="preserve"> (DPS), n</w:t>
            </w:r>
            <w:r w:rsidRPr="00C54DE7">
              <w:t xml:space="preserve">ot later than December 1, 2021, </w:t>
            </w:r>
            <w:r>
              <w:t>to</w:t>
            </w:r>
            <w:r w:rsidRPr="00C54DE7">
              <w:t xml:space="preserve"> adopt or amend </w:t>
            </w:r>
            <w:r>
              <w:t>DPS</w:t>
            </w:r>
            <w:r w:rsidRPr="00C54DE7">
              <w:t xml:space="preserve"> rules regarding the cultivation, processing, and dispensing of low-THC cannabis by a licensed dispensing organization under </w:t>
            </w:r>
            <w:r w:rsidR="00F3077F">
              <w:t xml:space="preserve">the </w:t>
            </w:r>
            <w:r w:rsidR="00F3077F" w:rsidRPr="00F3077F">
              <w:t>Texas Compassionate-Use Act</w:t>
            </w:r>
            <w:r w:rsidRPr="00C54DE7">
              <w:t>.</w:t>
            </w:r>
          </w:p>
          <w:p w14:paraId="38451FE0" w14:textId="77777777" w:rsidR="00F3077F" w:rsidRDefault="00F3077F" w:rsidP="00F53DD2">
            <w:pPr>
              <w:pStyle w:val="Header"/>
              <w:jc w:val="both"/>
            </w:pPr>
          </w:p>
          <w:p w14:paraId="296D8F92" w14:textId="615BBA89" w:rsidR="00F461D5" w:rsidRPr="009C36CD" w:rsidRDefault="00633E61" w:rsidP="00F53DD2">
            <w:pPr>
              <w:pStyle w:val="Header"/>
              <w:jc w:val="both"/>
            </w:pPr>
            <w:r>
              <w:t xml:space="preserve">H.B. 1535 repeals </w:t>
            </w:r>
            <w:r w:rsidRPr="00F461D5">
              <w:t>Section 169.001(6), Occu</w:t>
            </w:r>
            <w:r>
              <w:t>pations Code.</w:t>
            </w:r>
          </w:p>
          <w:p w14:paraId="06F88C1A" w14:textId="77777777" w:rsidR="008423E4" w:rsidRPr="00835628" w:rsidRDefault="008423E4" w:rsidP="00F53DD2">
            <w:pPr>
              <w:rPr>
                <w:b/>
              </w:rPr>
            </w:pPr>
          </w:p>
        </w:tc>
      </w:tr>
      <w:tr w:rsidR="00657BDB" w14:paraId="398768B1" w14:textId="77777777" w:rsidTr="00345119">
        <w:tc>
          <w:tcPr>
            <w:tcW w:w="9576" w:type="dxa"/>
          </w:tcPr>
          <w:p w14:paraId="55E71546" w14:textId="77777777" w:rsidR="008423E4" w:rsidRPr="00A8133F" w:rsidRDefault="00633E61" w:rsidP="00F53D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27F6B3" w14:textId="77777777" w:rsidR="008423E4" w:rsidRDefault="008423E4" w:rsidP="00F53DD2"/>
          <w:p w14:paraId="4535BC58" w14:textId="3A448DB3" w:rsidR="008423E4" w:rsidRPr="00474562" w:rsidRDefault="00633E61" w:rsidP="00F53D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931FBDA" w14:textId="3A2B020A" w:rsidR="004108C3" w:rsidRPr="00474562" w:rsidRDefault="004108C3" w:rsidP="00F53DD2">
      <w:pPr>
        <w:ind w:firstLine="720"/>
        <w:rPr>
          <w:sz w:val="2"/>
          <w:szCs w:val="2"/>
        </w:rPr>
      </w:pPr>
    </w:p>
    <w:sectPr w:rsidR="004108C3" w:rsidRPr="0047456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8977" w14:textId="77777777" w:rsidR="00000000" w:rsidRDefault="00633E61">
      <w:r>
        <w:separator/>
      </w:r>
    </w:p>
  </w:endnote>
  <w:endnote w:type="continuationSeparator" w:id="0">
    <w:p w14:paraId="698E7A12" w14:textId="77777777" w:rsidR="00000000" w:rsidRDefault="0063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3DE5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7BDB" w14:paraId="29164C3D" w14:textId="77777777" w:rsidTr="009C1E9A">
      <w:trPr>
        <w:cantSplit/>
      </w:trPr>
      <w:tc>
        <w:tcPr>
          <w:tcW w:w="0" w:type="pct"/>
        </w:tcPr>
        <w:p w14:paraId="18AE56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4276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D10D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F017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C741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7BDB" w14:paraId="7966D01F" w14:textId="77777777" w:rsidTr="009C1E9A">
      <w:trPr>
        <w:cantSplit/>
      </w:trPr>
      <w:tc>
        <w:tcPr>
          <w:tcW w:w="0" w:type="pct"/>
        </w:tcPr>
        <w:p w14:paraId="577777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2E9F4B" w14:textId="2812E4BF" w:rsidR="00EC379B" w:rsidRPr="009C1E9A" w:rsidRDefault="00633E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19226</w:t>
          </w:r>
        </w:p>
      </w:tc>
      <w:tc>
        <w:tcPr>
          <w:tcW w:w="2453" w:type="pct"/>
        </w:tcPr>
        <w:p w14:paraId="20A1C748" w14:textId="2791A04B" w:rsidR="00EC379B" w:rsidRDefault="00633E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51C5">
            <w:t>21.100.426</w:t>
          </w:r>
          <w:r>
            <w:fldChar w:fldCharType="end"/>
          </w:r>
        </w:p>
      </w:tc>
    </w:tr>
    <w:tr w:rsidR="00657BDB" w14:paraId="79CAB7CA" w14:textId="77777777" w:rsidTr="009C1E9A">
      <w:trPr>
        <w:cantSplit/>
      </w:trPr>
      <w:tc>
        <w:tcPr>
          <w:tcW w:w="0" w:type="pct"/>
        </w:tcPr>
        <w:p w14:paraId="784B339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070B4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48CAD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9B1D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7BDB" w14:paraId="28C6E0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F9B857" w14:textId="08DAF179" w:rsidR="00EC379B" w:rsidRDefault="00633E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0322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21DA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A401F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631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9285" w14:textId="77777777" w:rsidR="00000000" w:rsidRDefault="00633E61">
      <w:r>
        <w:separator/>
      </w:r>
    </w:p>
  </w:footnote>
  <w:footnote w:type="continuationSeparator" w:id="0">
    <w:p w14:paraId="672C4640" w14:textId="77777777" w:rsidR="00000000" w:rsidRDefault="0063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6E3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F5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CFC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CDD"/>
    <w:multiLevelType w:val="hybridMultilevel"/>
    <w:tmpl w:val="3B76A85E"/>
    <w:lvl w:ilvl="0" w:tplc="A060E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86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CF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2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61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C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E1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7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F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219"/>
    <w:multiLevelType w:val="hybridMultilevel"/>
    <w:tmpl w:val="8B6640B0"/>
    <w:lvl w:ilvl="0" w:tplc="30F22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A2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6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88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4C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AC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62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E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27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95D"/>
    <w:multiLevelType w:val="hybridMultilevel"/>
    <w:tmpl w:val="5F744618"/>
    <w:lvl w:ilvl="0" w:tplc="66121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63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AF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4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41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D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8C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46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29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EF3"/>
    <w:multiLevelType w:val="hybridMultilevel"/>
    <w:tmpl w:val="233AEF22"/>
    <w:lvl w:ilvl="0" w:tplc="69963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F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A5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4C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A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ED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49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27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4C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76"/>
    <w:rsid w:val="00000A70"/>
    <w:rsid w:val="000032B8"/>
    <w:rsid w:val="00003B06"/>
    <w:rsid w:val="000054B9"/>
    <w:rsid w:val="00007461"/>
    <w:rsid w:val="0000787B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5F7A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A2A"/>
    <w:rsid w:val="000D2EBA"/>
    <w:rsid w:val="000D32A1"/>
    <w:rsid w:val="000D3725"/>
    <w:rsid w:val="000D46E5"/>
    <w:rsid w:val="000D769C"/>
    <w:rsid w:val="000E1976"/>
    <w:rsid w:val="000E20F1"/>
    <w:rsid w:val="000E22ED"/>
    <w:rsid w:val="000E593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A6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37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EDC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BF9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A81"/>
    <w:rsid w:val="003305F5"/>
    <w:rsid w:val="00332DDC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5D74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E72"/>
    <w:rsid w:val="0047456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A4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590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0AD"/>
    <w:rsid w:val="006249CB"/>
    <w:rsid w:val="006272DD"/>
    <w:rsid w:val="00630963"/>
    <w:rsid w:val="00631897"/>
    <w:rsid w:val="00632928"/>
    <w:rsid w:val="006330DA"/>
    <w:rsid w:val="00633262"/>
    <w:rsid w:val="00633460"/>
    <w:rsid w:val="00633E61"/>
    <w:rsid w:val="006402E7"/>
    <w:rsid w:val="00640CB6"/>
    <w:rsid w:val="00641B42"/>
    <w:rsid w:val="00645750"/>
    <w:rsid w:val="00650692"/>
    <w:rsid w:val="006508D3"/>
    <w:rsid w:val="00650AFA"/>
    <w:rsid w:val="00657BD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3A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4CD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5F7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569"/>
    <w:rsid w:val="007F7668"/>
    <w:rsid w:val="007F7DAB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AF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BE9"/>
    <w:rsid w:val="008C132C"/>
    <w:rsid w:val="008C2C47"/>
    <w:rsid w:val="008C3FD0"/>
    <w:rsid w:val="008C4C46"/>
    <w:rsid w:val="008D27A5"/>
    <w:rsid w:val="008D2AAB"/>
    <w:rsid w:val="008D309C"/>
    <w:rsid w:val="008D5546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468"/>
    <w:rsid w:val="00930897"/>
    <w:rsid w:val="009316F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ABA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E8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8DF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93B"/>
    <w:rsid w:val="00AB5CCC"/>
    <w:rsid w:val="00AB74E2"/>
    <w:rsid w:val="00AC2E9A"/>
    <w:rsid w:val="00AC31F3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B09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34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A92"/>
    <w:rsid w:val="00BC6462"/>
    <w:rsid w:val="00BD0A32"/>
    <w:rsid w:val="00BD4E55"/>
    <w:rsid w:val="00BD513B"/>
    <w:rsid w:val="00BD5E52"/>
    <w:rsid w:val="00BD6095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22D"/>
    <w:rsid w:val="00C2766F"/>
    <w:rsid w:val="00C3223B"/>
    <w:rsid w:val="00C333C6"/>
    <w:rsid w:val="00C34715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DE7"/>
    <w:rsid w:val="00C57933"/>
    <w:rsid w:val="00C60206"/>
    <w:rsid w:val="00C615D4"/>
    <w:rsid w:val="00C61B5D"/>
    <w:rsid w:val="00C61C0E"/>
    <w:rsid w:val="00C61C64"/>
    <w:rsid w:val="00C61CDA"/>
    <w:rsid w:val="00C71C0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1C5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D7A"/>
    <w:rsid w:val="00CD180C"/>
    <w:rsid w:val="00CD37DA"/>
    <w:rsid w:val="00CD4CC4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A9B"/>
    <w:rsid w:val="00CF0CB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558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97F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CFD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DCF"/>
    <w:rsid w:val="00E2551E"/>
    <w:rsid w:val="00E26B13"/>
    <w:rsid w:val="00E27E5A"/>
    <w:rsid w:val="00E31135"/>
    <w:rsid w:val="00E317BA"/>
    <w:rsid w:val="00E3469B"/>
    <w:rsid w:val="00E3679D"/>
    <w:rsid w:val="00E36F14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22B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F8E"/>
    <w:rsid w:val="00F176E4"/>
    <w:rsid w:val="00F20E5F"/>
    <w:rsid w:val="00F25BCC"/>
    <w:rsid w:val="00F25CC2"/>
    <w:rsid w:val="00F274DE"/>
    <w:rsid w:val="00F27573"/>
    <w:rsid w:val="00F3077F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1D5"/>
    <w:rsid w:val="00F462F4"/>
    <w:rsid w:val="00F50130"/>
    <w:rsid w:val="00F50281"/>
    <w:rsid w:val="00F52402"/>
    <w:rsid w:val="00F53DD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521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BFA15-9742-4286-B9D9-0D7F2596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53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3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5281</Characters>
  <Application>Microsoft Office Word</Application>
  <DocSecurity>4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HB01535 (Committee Report (Unamended))</vt:lpstr>
    </vt:vector>
  </TitlesOfParts>
  <Company>State of Texas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19226</dc:subject>
  <dc:creator>State of Texas</dc:creator>
  <dc:description>HB 1535 by Klick-(H)Public Health</dc:description>
  <cp:lastModifiedBy>Stacey Nicchio</cp:lastModifiedBy>
  <cp:revision>2</cp:revision>
  <cp:lastPrinted>2003-11-26T17:21:00Z</cp:lastPrinted>
  <dcterms:created xsi:type="dcterms:W3CDTF">2021-04-12T16:30:00Z</dcterms:created>
  <dcterms:modified xsi:type="dcterms:W3CDTF">2021-04-12T16:30:00Z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21.100.426</vt:lpwstr>
  </property>
</Properties>
</file>