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C1F65" w14:paraId="6321772C" w14:textId="77777777" w:rsidTr="00345119">
        <w:tc>
          <w:tcPr>
            <w:tcW w:w="9576" w:type="dxa"/>
            <w:noWrap/>
          </w:tcPr>
          <w:p w14:paraId="618269CB" w14:textId="77777777" w:rsidR="008423E4" w:rsidRPr="0022177D" w:rsidRDefault="00147C5D" w:rsidP="00C277FB">
            <w:pPr>
              <w:pStyle w:val="Heading1"/>
            </w:pPr>
            <w:bookmarkStart w:id="0" w:name="_GoBack"/>
            <w:bookmarkEnd w:id="0"/>
            <w:r w:rsidRPr="00631897">
              <w:t>BILL ANALYSIS</w:t>
            </w:r>
          </w:p>
        </w:tc>
      </w:tr>
    </w:tbl>
    <w:p w14:paraId="15E5B871" w14:textId="77777777" w:rsidR="008423E4" w:rsidRPr="0022177D" w:rsidRDefault="008423E4" w:rsidP="00C277FB">
      <w:pPr>
        <w:jc w:val="center"/>
      </w:pPr>
    </w:p>
    <w:p w14:paraId="28E17848" w14:textId="77777777" w:rsidR="008423E4" w:rsidRPr="00B31F0E" w:rsidRDefault="008423E4" w:rsidP="00C277FB"/>
    <w:p w14:paraId="6CD02298" w14:textId="77777777" w:rsidR="008423E4" w:rsidRPr="00742794" w:rsidRDefault="008423E4" w:rsidP="00C277FB">
      <w:pPr>
        <w:tabs>
          <w:tab w:val="right" w:pos="9360"/>
        </w:tabs>
      </w:pPr>
    </w:p>
    <w:tbl>
      <w:tblPr>
        <w:tblW w:w="0" w:type="auto"/>
        <w:tblLayout w:type="fixed"/>
        <w:tblLook w:val="01E0" w:firstRow="1" w:lastRow="1" w:firstColumn="1" w:lastColumn="1" w:noHBand="0" w:noVBand="0"/>
      </w:tblPr>
      <w:tblGrid>
        <w:gridCol w:w="9576"/>
      </w:tblGrid>
      <w:tr w:rsidR="00DC1F65" w14:paraId="38A1B23B" w14:textId="77777777" w:rsidTr="00345119">
        <w:tc>
          <w:tcPr>
            <w:tcW w:w="9576" w:type="dxa"/>
          </w:tcPr>
          <w:p w14:paraId="07CC0327" w14:textId="5515EF22" w:rsidR="008423E4" w:rsidRPr="00861995" w:rsidRDefault="00147C5D" w:rsidP="00C277FB">
            <w:pPr>
              <w:jc w:val="right"/>
            </w:pPr>
            <w:r>
              <w:t>H.B. 1544</w:t>
            </w:r>
          </w:p>
        </w:tc>
      </w:tr>
      <w:tr w:rsidR="00DC1F65" w14:paraId="4D221AAF" w14:textId="77777777" w:rsidTr="00345119">
        <w:tc>
          <w:tcPr>
            <w:tcW w:w="9576" w:type="dxa"/>
          </w:tcPr>
          <w:p w14:paraId="2E3F4AB7" w14:textId="4C30A1D2" w:rsidR="008423E4" w:rsidRPr="00861995" w:rsidRDefault="00147C5D" w:rsidP="00C277FB">
            <w:pPr>
              <w:jc w:val="right"/>
            </w:pPr>
            <w:r>
              <w:t xml:space="preserve">By: </w:t>
            </w:r>
            <w:r w:rsidR="002B1A5A">
              <w:t>Guillen</w:t>
            </w:r>
          </w:p>
        </w:tc>
      </w:tr>
      <w:tr w:rsidR="00DC1F65" w14:paraId="66897727" w14:textId="77777777" w:rsidTr="00345119">
        <w:tc>
          <w:tcPr>
            <w:tcW w:w="9576" w:type="dxa"/>
          </w:tcPr>
          <w:p w14:paraId="30667B00" w14:textId="25505A81" w:rsidR="008423E4" w:rsidRPr="00861995" w:rsidRDefault="00147C5D" w:rsidP="00C277FB">
            <w:pPr>
              <w:jc w:val="right"/>
            </w:pPr>
            <w:r>
              <w:t>Natural Resources</w:t>
            </w:r>
          </w:p>
        </w:tc>
      </w:tr>
      <w:tr w:rsidR="00DC1F65" w14:paraId="04571A7D" w14:textId="77777777" w:rsidTr="00345119">
        <w:tc>
          <w:tcPr>
            <w:tcW w:w="9576" w:type="dxa"/>
          </w:tcPr>
          <w:p w14:paraId="42AD104C" w14:textId="052BC78E" w:rsidR="008423E4" w:rsidRDefault="00147C5D" w:rsidP="00C277FB">
            <w:pPr>
              <w:jc w:val="right"/>
            </w:pPr>
            <w:r>
              <w:t>Committee Report (Unamended)</w:t>
            </w:r>
          </w:p>
        </w:tc>
      </w:tr>
    </w:tbl>
    <w:p w14:paraId="1C9FEFF3" w14:textId="77777777" w:rsidR="008423E4" w:rsidRDefault="008423E4" w:rsidP="00C277FB">
      <w:pPr>
        <w:tabs>
          <w:tab w:val="right" w:pos="9360"/>
        </w:tabs>
      </w:pPr>
    </w:p>
    <w:p w14:paraId="3EC4FC25" w14:textId="77777777" w:rsidR="008423E4" w:rsidRDefault="008423E4" w:rsidP="00C277FB"/>
    <w:p w14:paraId="2609DA21" w14:textId="77777777" w:rsidR="008423E4" w:rsidRDefault="008423E4" w:rsidP="00C277FB"/>
    <w:tbl>
      <w:tblPr>
        <w:tblW w:w="0" w:type="auto"/>
        <w:tblCellMar>
          <w:left w:w="115" w:type="dxa"/>
          <w:right w:w="115" w:type="dxa"/>
        </w:tblCellMar>
        <w:tblLook w:val="01E0" w:firstRow="1" w:lastRow="1" w:firstColumn="1" w:lastColumn="1" w:noHBand="0" w:noVBand="0"/>
      </w:tblPr>
      <w:tblGrid>
        <w:gridCol w:w="9360"/>
      </w:tblGrid>
      <w:tr w:rsidR="00DC1F65" w14:paraId="45427292" w14:textId="77777777" w:rsidTr="00345119">
        <w:tc>
          <w:tcPr>
            <w:tcW w:w="9576" w:type="dxa"/>
          </w:tcPr>
          <w:p w14:paraId="6301F0CA" w14:textId="77777777" w:rsidR="008423E4" w:rsidRPr="00A8133F" w:rsidRDefault="00147C5D" w:rsidP="00C277FB">
            <w:pPr>
              <w:rPr>
                <w:b/>
              </w:rPr>
            </w:pPr>
            <w:r w:rsidRPr="009C1E9A">
              <w:rPr>
                <w:b/>
                <w:u w:val="single"/>
              </w:rPr>
              <w:t>BACKGROUND AND PURPOSE</w:t>
            </w:r>
            <w:r>
              <w:rPr>
                <w:b/>
              </w:rPr>
              <w:t xml:space="preserve"> </w:t>
            </w:r>
          </w:p>
          <w:p w14:paraId="5C7F5630" w14:textId="77777777" w:rsidR="008423E4" w:rsidRDefault="008423E4" w:rsidP="00C277FB"/>
          <w:p w14:paraId="1C1A635B" w14:textId="0AFEB85F" w:rsidR="008423E4" w:rsidRDefault="00147C5D" w:rsidP="00C277FB">
            <w:pPr>
              <w:pStyle w:val="Header"/>
              <w:jc w:val="both"/>
            </w:pPr>
            <w:r>
              <w:t>Concerns have been raised regarding the mining and processing of sand for certain oil and gas</w:t>
            </w:r>
            <w:r w:rsidR="006477D1">
              <w:t xml:space="preserve"> </w:t>
            </w:r>
            <w:r>
              <w:t xml:space="preserve">purposes and for concrete construction in areas that </w:t>
            </w:r>
            <w:r w:rsidR="00932F1C">
              <w:t xml:space="preserve">overlie </w:t>
            </w:r>
            <w:r>
              <w:t>the Carrizo Aquifer. It has been suggested that the removal of sand without providing for reclamation of the remaining soil can have an adverse effect on the surrounding agriculture and wildlife.</w:t>
            </w:r>
            <w:r>
              <w:t xml:space="preserve"> </w:t>
            </w:r>
            <w:r w:rsidR="002E1A33">
              <w:t>There have been calls</w:t>
            </w:r>
            <w:r w:rsidRPr="00AE4379">
              <w:t xml:space="preserve"> to decrease the harmful effects of sand mining operations by providing incentives to sand mining operations located in </w:t>
            </w:r>
            <w:r w:rsidR="002E1A33">
              <w:t>this area</w:t>
            </w:r>
            <w:r w:rsidRPr="00AE4379">
              <w:t>.</w:t>
            </w:r>
            <w:r>
              <w:t xml:space="preserve"> </w:t>
            </w:r>
            <w:r w:rsidRPr="00AE4379">
              <w:t>H</w:t>
            </w:r>
            <w:r w:rsidR="002E1A33">
              <w:t>.</w:t>
            </w:r>
            <w:r w:rsidRPr="00AE4379">
              <w:t>B</w:t>
            </w:r>
            <w:r w:rsidR="002E1A33">
              <w:t>.</w:t>
            </w:r>
            <w:r w:rsidRPr="00AE4379">
              <w:t xml:space="preserve"> </w:t>
            </w:r>
            <w:r w:rsidR="006477D1" w:rsidRPr="00AE4379">
              <w:t>1544 seeks</w:t>
            </w:r>
            <w:r w:rsidRPr="00AE4379">
              <w:t xml:space="preserve"> to address this issue by requir</w:t>
            </w:r>
            <w:r w:rsidR="00143A4C">
              <w:t>ing</w:t>
            </w:r>
            <w:r w:rsidRPr="00AE4379">
              <w:t xml:space="preserve"> the Texas Commission on Environmental Quality to ado</w:t>
            </w:r>
            <w:r w:rsidRPr="00AE4379">
              <w:t>pt standard best practices for reclamation of land used for sand mining operations</w:t>
            </w:r>
            <w:r w:rsidR="00143A4C">
              <w:t xml:space="preserve"> and by providing certain incentives based on the adherence to those practices</w:t>
            </w:r>
            <w:r w:rsidRPr="00AE4379">
              <w:t>.</w:t>
            </w:r>
          </w:p>
          <w:p w14:paraId="3B624D76" w14:textId="77777777" w:rsidR="008423E4" w:rsidRPr="00E26B13" w:rsidRDefault="008423E4" w:rsidP="00C277FB">
            <w:pPr>
              <w:rPr>
                <w:b/>
              </w:rPr>
            </w:pPr>
          </w:p>
        </w:tc>
      </w:tr>
      <w:tr w:rsidR="00DC1F65" w14:paraId="50842A8B" w14:textId="77777777" w:rsidTr="00345119">
        <w:tc>
          <w:tcPr>
            <w:tcW w:w="9576" w:type="dxa"/>
          </w:tcPr>
          <w:p w14:paraId="2132288D" w14:textId="77777777" w:rsidR="0017725B" w:rsidRDefault="00147C5D" w:rsidP="00C277FB">
            <w:pPr>
              <w:rPr>
                <w:b/>
                <w:u w:val="single"/>
              </w:rPr>
            </w:pPr>
            <w:r>
              <w:rPr>
                <w:b/>
                <w:u w:val="single"/>
              </w:rPr>
              <w:t>CRIMINAL JUSTICE IMPACT</w:t>
            </w:r>
          </w:p>
          <w:p w14:paraId="1C4A7713" w14:textId="77777777" w:rsidR="0017725B" w:rsidRDefault="0017725B" w:rsidP="00C277FB">
            <w:pPr>
              <w:rPr>
                <w:b/>
                <w:u w:val="single"/>
              </w:rPr>
            </w:pPr>
          </w:p>
          <w:p w14:paraId="64999CB2" w14:textId="493B5B6A" w:rsidR="004E29A4" w:rsidRPr="004E29A4" w:rsidRDefault="00147C5D" w:rsidP="00C277FB">
            <w:pPr>
              <w:jc w:val="both"/>
            </w:pPr>
            <w:r>
              <w:t>It is the committee's opinion that this bill does not expressly cre</w:t>
            </w:r>
            <w:r>
              <w:t>ate a criminal offense, increase the punishment for an existing criminal offense or category of offenses, or change the eligibility of a person for community supervision, parole, or mandatory supervision.</w:t>
            </w:r>
          </w:p>
          <w:p w14:paraId="3C0615EE" w14:textId="77777777" w:rsidR="0017725B" w:rsidRPr="0017725B" w:rsidRDefault="0017725B" w:rsidP="00C277FB">
            <w:pPr>
              <w:rPr>
                <w:b/>
                <w:u w:val="single"/>
              </w:rPr>
            </w:pPr>
          </w:p>
        </w:tc>
      </w:tr>
      <w:tr w:rsidR="00DC1F65" w14:paraId="14A9BEA2" w14:textId="77777777" w:rsidTr="00345119">
        <w:tc>
          <w:tcPr>
            <w:tcW w:w="9576" w:type="dxa"/>
          </w:tcPr>
          <w:p w14:paraId="79610397" w14:textId="77777777" w:rsidR="008423E4" w:rsidRPr="00A8133F" w:rsidRDefault="00147C5D" w:rsidP="00C277FB">
            <w:pPr>
              <w:rPr>
                <w:b/>
              </w:rPr>
            </w:pPr>
            <w:r w:rsidRPr="009C1E9A">
              <w:rPr>
                <w:b/>
                <w:u w:val="single"/>
              </w:rPr>
              <w:t>RULEMAKING AUTHORITY</w:t>
            </w:r>
            <w:r>
              <w:rPr>
                <w:b/>
              </w:rPr>
              <w:t xml:space="preserve"> </w:t>
            </w:r>
          </w:p>
          <w:p w14:paraId="19D3A3AE" w14:textId="77777777" w:rsidR="008423E4" w:rsidRDefault="008423E4" w:rsidP="00C277FB"/>
          <w:p w14:paraId="3864F2BD" w14:textId="423B3014" w:rsidR="004E29A4" w:rsidRDefault="00147C5D" w:rsidP="00C277FB">
            <w:pPr>
              <w:pStyle w:val="Header"/>
              <w:tabs>
                <w:tab w:val="clear" w:pos="4320"/>
                <w:tab w:val="clear" w:pos="8640"/>
              </w:tabs>
              <w:jc w:val="both"/>
            </w:pPr>
            <w:r>
              <w:t xml:space="preserve">It is the committee's opinion that rulemaking authority is expressly granted to the </w:t>
            </w:r>
            <w:r w:rsidRPr="004E29A4">
              <w:t>Texas Commission on Environmental Quality</w:t>
            </w:r>
            <w:r>
              <w:t xml:space="preserve"> in </w:t>
            </w:r>
            <w:r w:rsidRPr="00A97767">
              <w:t>SECTION 1</w:t>
            </w:r>
            <w:r>
              <w:t xml:space="preserve"> of this bill.</w:t>
            </w:r>
          </w:p>
          <w:p w14:paraId="5F568143" w14:textId="77777777" w:rsidR="008423E4" w:rsidRPr="00E21FDC" w:rsidRDefault="008423E4" w:rsidP="00C277FB">
            <w:pPr>
              <w:rPr>
                <w:b/>
              </w:rPr>
            </w:pPr>
          </w:p>
        </w:tc>
      </w:tr>
      <w:tr w:rsidR="00DC1F65" w14:paraId="1733BA77" w14:textId="77777777" w:rsidTr="00345119">
        <w:tc>
          <w:tcPr>
            <w:tcW w:w="9576" w:type="dxa"/>
          </w:tcPr>
          <w:p w14:paraId="4F0317C7" w14:textId="77777777" w:rsidR="008423E4" w:rsidRPr="00A8133F" w:rsidRDefault="00147C5D" w:rsidP="00C277FB">
            <w:pPr>
              <w:rPr>
                <w:b/>
              </w:rPr>
            </w:pPr>
            <w:r w:rsidRPr="009C1E9A">
              <w:rPr>
                <w:b/>
                <w:u w:val="single"/>
              </w:rPr>
              <w:t>ANALYSIS</w:t>
            </w:r>
            <w:r>
              <w:rPr>
                <w:b/>
              </w:rPr>
              <w:t xml:space="preserve"> </w:t>
            </w:r>
          </w:p>
          <w:p w14:paraId="44B41FB5" w14:textId="77777777" w:rsidR="008423E4" w:rsidRDefault="008423E4" w:rsidP="00C277FB"/>
          <w:p w14:paraId="4D314A9B" w14:textId="77777777" w:rsidR="00E85D45" w:rsidRDefault="00147C5D" w:rsidP="00C277FB">
            <w:pPr>
              <w:pStyle w:val="Header"/>
              <w:jc w:val="both"/>
            </w:pPr>
            <w:r>
              <w:t xml:space="preserve">H.B. 1544 amends the </w:t>
            </w:r>
            <w:r w:rsidRPr="00972A3A">
              <w:t>Tax Code</w:t>
            </w:r>
            <w:r>
              <w:t xml:space="preserve"> to establish that the eligibility of land for appraisal as </w:t>
            </w:r>
            <w:r w:rsidRPr="00E85D45">
              <w:t>qualified open-space land</w:t>
            </w:r>
            <w:r>
              <w:t xml:space="preserve"> does not end because the land ceases to be devoted principally to agricultural use to the degree of intensity g</w:t>
            </w:r>
            <w:r w:rsidR="00537A7D">
              <w:t>enerally accepted in the area under the following conditions</w:t>
            </w:r>
            <w:r>
              <w:t>:</w:t>
            </w:r>
          </w:p>
          <w:p w14:paraId="7707ECB4" w14:textId="77777777" w:rsidR="00E85D45" w:rsidRDefault="00147C5D" w:rsidP="00C277FB">
            <w:pPr>
              <w:pStyle w:val="Header"/>
              <w:numPr>
                <w:ilvl w:val="0"/>
                <w:numId w:val="1"/>
              </w:numPr>
              <w:jc w:val="both"/>
            </w:pPr>
            <w:r>
              <w:t>the owner of the land intends that the use of the land in</w:t>
            </w:r>
            <w:r>
              <w:t xml:space="preserve"> that manner and to that degree of intensity be resumed;</w:t>
            </w:r>
          </w:p>
          <w:p w14:paraId="0610B1C7" w14:textId="77777777" w:rsidR="00537A7D" w:rsidRDefault="00147C5D" w:rsidP="00C277FB">
            <w:pPr>
              <w:pStyle w:val="Header"/>
              <w:numPr>
                <w:ilvl w:val="0"/>
                <w:numId w:val="1"/>
              </w:numPr>
              <w:jc w:val="both"/>
            </w:pPr>
            <w:r>
              <w:t>the land is used for a sand mining operation, defined by the bill as a registered</w:t>
            </w:r>
            <w:r w:rsidRPr="00537A7D">
              <w:t xml:space="preserve"> aggregate production operation at which sand is removed or extracted</w:t>
            </w:r>
            <w:r>
              <w:t>, that overlies the Carrizo Aquifer and is locate</w:t>
            </w:r>
            <w:r>
              <w:t>d within:</w:t>
            </w:r>
          </w:p>
          <w:p w14:paraId="4980C07C" w14:textId="77777777" w:rsidR="00537A7D" w:rsidRDefault="00147C5D" w:rsidP="00C277FB">
            <w:pPr>
              <w:pStyle w:val="Header"/>
              <w:numPr>
                <w:ilvl w:val="1"/>
                <w:numId w:val="1"/>
              </w:numPr>
              <w:jc w:val="both"/>
            </w:pPr>
            <w:r>
              <w:t>30 miles of the boundary of a municipality with a population of more than 500,000; or</w:t>
            </w:r>
          </w:p>
          <w:p w14:paraId="6B6540CB" w14:textId="77777777" w:rsidR="00E85D45" w:rsidRDefault="00147C5D" w:rsidP="00C277FB">
            <w:pPr>
              <w:pStyle w:val="Header"/>
              <w:numPr>
                <w:ilvl w:val="1"/>
                <w:numId w:val="1"/>
              </w:numPr>
              <w:jc w:val="both"/>
            </w:pPr>
            <w:r>
              <w:t>one mile of a building in use as a single-family or multifamily residence; and</w:t>
            </w:r>
          </w:p>
          <w:p w14:paraId="26738D3B" w14:textId="77777777" w:rsidR="009C36CD" w:rsidRDefault="00147C5D" w:rsidP="00C277FB">
            <w:pPr>
              <w:pStyle w:val="Header"/>
              <w:numPr>
                <w:ilvl w:val="0"/>
                <w:numId w:val="1"/>
              </w:numPr>
              <w:tabs>
                <w:tab w:val="clear" w:pos="4320"/>
                <w:tab w:val="clear" w:pos="8640"/>
              </w:tabs>
              <w:jc w:val="both"/>
            </w:pPr>
            <w:r>
              <w:t xml:space="preserve">the land is reclaimed according to the standard best practices adopted under the </w:t>
            </w:r>
            <w:r>
              <w:t>bill's provisions not later than the first anniversary of the date sand mining operations began on the land.</w:t>
            </w:r>
          </w:p>
          <w:p w14:paraId="39FDD00C" w14:textId="77777777" w:rsidR="00EE48FF" w:rsidRDefault="00EE48FF" w:rsidP="00C277FB">
            <w:pPr>
              <w:pStyle w:val="Header"/>
              <w:tabs>
                <w:tab w:val="clear" w:pos="4320"/>
                <w:tab w:val="clear" w:pos="8640"/>
              </w:tabs>
              <w:jc w:val="both"/>
            </w:pPr>
          </w:p>
          <w:p w14:paraId="59233E5D" w14:textId="77777777" w:rsidR="002C5E9E" w:rsidRDefault="00147C5D" w:rsidP="00C277FB">
            <w:pPr>
              <w:pStyle w:val="Header"/>
              <w:tabs>
                <w:tab w:val="clear" w:pos="4320"/>
                <w:tab w:val="clear" w:pos="8640"/>
              </w:tabs>
              <w:jc w:val="both"/>
            </w:pPr>
            <w:r>
              <w:t>H.B. 1544</w:t>
            </w:r>
            <w:r w:rsidR="00537A7D">
              <w:t xml:space="preserve"> requires t</w:t>
            </w:r>
            <w:r w:rsidR="00537A7D" w:rsidRPr="00537A7D">
              <w:t xml:space="preserve">he </w:t>
            </w:r>
            <w:r w:rsidR="00A97767">
              <w:t>land</w:t>
            </w:r>
            <w:r w:rsidR="00537A7D" w:rsidRPr="00537A7D">
              <w:t xml:space="preserve">owner </w:t>
            </w:r>
            <w:r w:rsidR="00537A7D">
              <w:t>to</w:t>
            </w:r>
            <w:r w:rsidR="00537A7D" w:rsidRPr="00537A7D">
              <w:t xml:space="preserve"> notify the appraisal office in writing </w:t>
            </w:r>
            <w:r w:rsidR="00A97767">
              <w:t>by a certain deadline</w:t>
            </w:r>
            <w:r w:rsidR="00537A7D" w:rsidRPr="00537A7D">
              <w:t xml:space="preserve"> that the owner intends to ensure that the</w:t>
            </w:r>
            <w:r>
              <w:t xml:space="preserve"> applica</w:t>
            </w:r>
            <w:r>
              <w:t>ble</w:t>
            </w:r>
            <w:r w:rsidR="00537A7D" w:rsidRPr="00537A7D">
              <w:t xml:space="preserve"> requirements are met.</w:t>
            </w:r>
            <w:r w:rsidR="00573B03">
              <w:t xml:space="preserve"> The bill requires </w:t>
            </w:r>
            <w:r w:rsidR="006305B8">
              <w:t xml:space="preserve">the </w:t>
            </w:r>
            <w:r w:rsidR="006305B8" w:rsidRPr="00573B03">
              <w:t>Texas Commission on Environmental Quality</w:t>
            </w:r>
            <w:r w:rsidR="006305B8">
              <w:t xml:space="preserve"> </w:t>
            </w:r>
            <w:r w:rsidR="006305B8" w:rsidRPr="00573B03">
              <w:t>(TCEQ)</w:t>
            </w:r>
            <w:r w:rsidR="006305B8">
              <w:t xml:space="preserve"> to</w:t>
            </w:r>
            <w:r w:rsidR="00573B03" w:rsidRPr="00573B03">
              <w:t xml:space="preserve"> establish a process to allow a</w:t>
            </w:r>
            <w:r w:rsidR="00A97767">
              <w:t xml:space="preserve"> land</w:t>
            </w:r>
            <w:r w:rsidR="00573B03" w:rsidRPr="00573B03">
              <w:t xml:space="preserve">owner who submits </w:t>
            </w:r>
            <w:r w:rsidR="006305B8">
              <w:t xml:space="preserve">such </w:t>
            </w:r>
            <w:r w:rsidR="00573B03" w:rsidRPr="00573B03">
              <w:t xml:space="preserve">a notice to obtain from the </w:t>
            </w:r>
            <w:r w:rsidR="006305B8">
              <w:t xml:space="preserve">TCEQ </w:t>
            </w:r>
            <w:r w:rsidR="00573B03" w:rsidRPr="00573B03">
              <w:t>executive director a letter determining whether the land that is the subject of the notice was reclaimed according to the standard best practices in the</w:t>
            </w:r>
            <w:r w:rsidR="006305B8">
              <w:t xml:space="preserve"> required</w:t>
            </w:r>
            <w:r w:rsidR="00573B03" w:rsidRPr="00573B03">
              <w:t xml:space="preserve"> time frame</w:t>
            </w:r>
            <w:r w:rsidR="004A3F78">
              <w:t>. The bill</w:t>
            </w:r>
            <w:r w:rsidR="006305B8">
              <w:t xml:space="preserve"> sets a deadline by which t</w:t>
            </w:r>
            <w:r w:rsidR="00573B03" w:rsidRPr="00573B03">
              <w:t xml:space="preserve">he </w:t>
            </w:r>
            <w:r w:rsidR="00A97767">
              <w:t>land</w:t>
            </w:r>
            <w:r w:rsidR="00573B03" w:rsidRPr="00573B03">
              <w:t>owner must apply to the executive director for the determination</w:t>
            </w:r>
            <w:r>
              <w:t xml:space="preserve"> and</w:t>
            </w:r>
            <w:r w:rsidR="004A3F78">
              <w:t xml:space="preserve"> </w:t>
            </w:r>
            <w:r>
              <w:t>sets out provisions relating to the following:</w:t>
            </w:r>
            <w:r w:rsidR="004A3F78">
              <w:t xml:space="preserve"> </w:t>
            </w:r>
          </w:p>
          <w:p w14:paraId="381C661A" w14:textId="77777777" w:rsidR="002C5E9E" w:rsidRDefault="00147C5D" w:rsidP="00C277FB">
            <w:pPr>
              <w:pStyle w:val="Header"/>
              <w:numPr>
                <w:ilvl w:val="0"/>
                <w:numId w:val="4"/>
              </w:numPr>
              <w:tabs>
                <w:tab w:val="clear" w:pos="4320"/>
                <w:tab w:val="clear" w:pos="8640"/>
              </w:tabs>
              <w:jc w:val="both"/>
            </w:pPr>
            <w:r>
              <w:t>the issuance of and correspondence regarding</w:t>
            </w:r>
            <w:r w:rsidR="004A3F78">
              <w:t xml:space="preserve"> </w:t>
            </w:r>
            <w:r>
              <w:t xml:space="preserve">a </w:t>
            </w:r>
            <w:r w:rsidR="004A3F78">
              <w:t>determination</w:t>
            </w:r>
            <w:r>
              <w:t xml:space="preserve"> letter</w:t>
            </w:r>
            <w:r w:rsidR="00A97767">
              <w:t>;</w:t>
            </w:r>
            <w:r>
              <w:t xml:space="preserve"> and</w:t>
            </w:r>
            <w:r w:rsidR="004A3F78">
              <w:t xml:space="preserve"> </w:t>
            </w:r>
          </w:p>
          <w:p w14:paraId="3485D800" w14:textId="77777777" w:rsidR="00573B03" w:rsidRDefault="00147C5D" w:rsidP="00C277FB">
            <w:pPr>
              <w:pStyle w:val="Header"/>
              <w:numPr>
                <w:ilvl w:val="0"/>
                <w:numId w:val="4"/>
              </w:numPr>
              <w:tabs>
                <w:tab w:val="clear" w:pos="4320"/>
                <w:tab w:val="clear" w:pos="8640"/>
              </w:tabs>
              <w:jc w:val="both"/>
            </w:pPr>
            <w:r>
              <w:t xml:space="preserve">an appeal </w:t>
            </w:r>
            <w:r w:rsidR="00182CBD">
              <w:t xml:space="preserve">of the determination by the </w:t>
            </w:r>
            <w:r w:rsidR="00A97767">
              <w:t>land</w:t>
            </w:r>
            <w:r w:rsidR="00182CBD">
              <w:t xml:space="preserve">owner or chief appraiser </w:t>
            </w:r>
            <w:r w:rsidR="00182CBD" w:rsidRPr="00E659FD">
              <w:t>of the county appraisal district.</w:t>
            </w:r>
            <w:r w:rsidR="00EE48FF">
              <w:t xml:space="preserve"> </w:t>
            </w:r>
          </w:p>
          <w:p w14:paraId="0DBC48B3" w14:textId="77777777" w:rsidR="002C5E9E" w:rsidRDefault="002C5E9E" w:rsidP="00C277FB">
            <w:pPr>
              <w:pStyle w:val="Header"/>
              <w:tabs>
                <w:tab w:val="clear" w:pos="4320"/>
                <w:tab w:val="clear" w:pos="8640"/>
              </w:tabs>
              <w:jc w:val="both"/>
            </w:pPr>
          </w:p>
          <w:p w14:paraId="782B12F1" w14:textId="77777777" w:rsidR="005802BF" w:rsidRDefault="00147C5D" w:rsidP="00C277FB">
            <w:pPr>
              <w:pStyle w:val="Header"/>
              <w:tabs>
                <w:tab w:val="clear" w:pos="4320"/>
                <w:tab w:val="clear" w:pos="8640"/>
              </w:tabs>
              <w:jc w:val="both"/>
            </w:pPr>
            <w:r>
              <w:t>H.B. 1544 provides the following:</w:t>
            </w:r>
          </w:p>
          <w:p w14:paraId="097AB452" w14:textId="753EC340" w:rsidR="005802BF" w:rsidRDefault="00147C5D" w:rsidP="00C277FB">
            <w:pPr>
              <w:pStyle w:val="Header"/>
              <w:numPr>
                <w:ilvl w:val="0"/>
                <w:numId w:val="5"/>
              </w:numPr>
              <w:tabs>
                <w:tab w:val="clear" w:pos="4320"/>
                <w:tab w:val="clear" w:pos="8640"/>
              </w:tabs>
              <w:jc w:val="both"/>
            </w:pPr>
            <w:r>
              <w:t xml:space="preserve">the </w:t>
            </w:r>
            <w:r w:rsidR="002C5E9E" w:rsidRPr="002C5E9E">
              <w:t xml:space="preserve">chief appraiser </w:t>
            </w:r>
            <w:r>
              <w:t>must</w:t>
            </w:r>
            <w:r w:rsidR="002C5E9E" w:rsidRPr="002C5E9E">
              <w:t xml:space="preserve"> accept a final determination by the executive director as conclusive evidence that land was reclaimed according to the standard best practices in the</w:t>
            </w:r>
            <w:r w:rsidR="002C5E9E">
              <w:t xml:space="preserve"> required</w:t>
            </w:r>
            <w:r w:rsidR="002C5E9E" w:rsidRPr="002C5E9E">
              <w:t xml:space="preserve"> time frame</w:t>
            </w:r>
            <w:r>
              <w:t>;</w:t>
            </w:r>
            <w:r w:rsidR="002C5E9E">
              <w:t xml:space="preserve"> </w:t>
            </w:r>
          </w:p>
          <w:p w14:paraId="29C84DC5" w14:textId="77777777" w:rsidR="008B3F52" w:rsidRDefault="00147C5D" w:rsidP="00C277FB">
            <w:pPr>
              <w:pStyle w:val="Header"/>
              <w:numPr>
                <w:ilvl w:val="0"/>
                <w:numId w:val="5"/>
              </w:numPr>
              <w:tabs>
                <w:tab w:val="clear" w:pos="4320"/>
                <w:tab w:val="clear" w:pos="8640"/>
              </w:tabs>
              <w:jc w:val="both"/>
            </w:pPr>
            <w:r>
              <w:t xml:space="preserve">TCEQ </w:t>
            </w:r>
            <w:r w:rsidR="005802BF">
              <w:t>may</w:t>
            </w:r>
            <w:r w:rsidR="00A97767">
              <w:t xml:space="preserve"> charge a</w:t>
            </w:r>
            <w:r w:rsidRPr="002C5E9E">
              <w:t xml:space="preserve"> </w:t>
            </w:r>
            <w:r w:rsidR="00A97767">
              <w:t>land</w:t>
            </w:r>
            <w:r w:rsidRPr="002C5E9E">
              <w:t>own</w:t>
            </w:r>
            <w:r w:rsidRPr="002C5E9E">
              <w:t>er seeking a determi</w:t>
            </w:r>
            <w:r>
              <w:t>nation letter</w:t>
            </w:r>
            <w:r w:rsidRPr="002C5E9E">
              <w:t xml:space="preserve"> a fee</w:t>
            </w:r>
            <w:r w:rsidR="00E659FD">
              <w:t xml:space="preserve"> capped at</w:t>
            </w:r>
            <w:r w:rsidRPr="002C5E9E">
              <w:t xml:space="preserve"> its administrative costs for making the determination and issuing the</w:t>
            </w:r>
            <w:r>
              <w:t xml:space="preserve"> letter</w:t>
            </w:r>
            <w:r w:rsidR="005802BF">
              <w:t>;</w:t>
            </w:r>
            <w:r>
              <w:t xml:space="preserve"> and </w:t>
            </w:r>
          </w:p>
          <w:p w14:paraId="0B3DC68F" w14:textId="15BAFDA9" w:rsidR="00573B03" w:rsidRDefault="00147C5D" w:rsidP="00C277FB">
            <w:pPr>
              <w:pStyle w:val="Header"/>
              <w:numPr>
                <w:ilvl w:val="0"/>
                <w:numId w:val="5"/>
              </w:numPr>
              <w:tabs>
                <w:tab w:val="clear" w:pos="4320"/>
                <w:tab w:val="clear" w:pos="8640"/>
              </w:tabs>
              <w:jc w:val="both"/>
            </w:pPr>
            <w:r w:rsidRPr="00573B03">
              <w:t>TCEQ</w:t>
            </w:r>
            <w:r>
              <w:t xml:space="preserve"> </w:t>
            </w:r>
            <w:r w:rsidRPr="00573B03">
              <w:t xml:space="preserve">by rule </w:t>
            </w:r>
            <w:r w:rsidR="005802BF">
              <w:t>must</w:t>
            </w:r>
            <w:r w:rsidRPr="00573B03">
              <w:t xml:space="preserve"> adopt </w:t>
            </w:r>
            <w:r w:rsidR="004F199D">
              <w:t xml:space="preserve">the </w:t>
            </w:r>
            <w:r w:rsidRPr="00573B03">
              <w:t>standard best practices</w:t>
            </w:r>
            <w:r w:rsidR="005802BF">
              <w:t xml:space="preserve">, as prescribed, </w:t>
            </w:r>
            <w:r w:rsidRPr="00573B03">
              <w:t>for reclamation of land used for a sand mining operatio</w:t>
            </w:r>
            <w:r w:rsidRPr="00573B03">
              <w:t>n to be used for the</w:t>
            </w:r>
            <w:r>
              <w:t xml:space="preserve"> bill's</w:t>
            </w:r>
            <w:r w:rsidRPr="00573B03">
              <w:t xml:space="preserve"> purposes</w:t>
            </w:r>
            <w:r>
              <w:t>.</w:t>
            </w:r>
          </w:p>
          <w:p w14:paraId="5BF71305" w14:textId="77777777" w:rsidR="002C5E9E" w:rsidRDefault="002C5E9E" w:rsidP="00C277FB">
            <w:pPr>
              <w:pStyle w:val="Header"/>
              <w:tabs>
                <w:tab w:val="clear" w:pos="4320"/>
                <w:tab w:val="clear" w:pos="8640"/>
              </w:tabs>
              <w:jc w:val="both"/>
            </w:pPr>
          </w:p>
          <w:p w14:paraId="30A19410" w14:textId="77777777" w:rsidR="002C5E9E" w:rsidRDefault="00147C5D" w:rsidP="00C277FB">
            <w:pPr>
              <w:pStyle w:val="Header"/>
              <w:tabs>
                <w:tab w:val="clear" w:pos="4320"/>
                <w:tab w:val="clear" w:pos="8640"/>
              </w:tabs>
              <w:jc w:val="both"/>
            </w:pPr>
            <w:r>
              <w:t xml:space="preserve">H.B. 1544 applies </w:t>
            </w:r>
            <w:r w:rsidRPr="002C5E9E">
              <w:t xml:space="preserve">only to land on which a sand mining operation began before the </w:t>
            </w:r>
            <w:r>
              <w:t>bill</w:t>
            </w:r>
            <w:r w:rsidR="004E7728">
              <w:t>'</w:t>
            </w:r>
            <w:r>
              <w:t>s</w:t>
            </w:r>
            <w:r w:rsidR="004E7728">
              <w:t xml:space="preserve"> effective date.</w:t>
            </w:r>
          </w:p>
          <w:p w14:paraId="41B9FD35" w14:textId="77777777" w:rsidR="008423E4" w:rsidRPr="00835628" w:rsidRDefault="008423E4" w:rsidP="00C277FB">
            <w:pPr>
              <w:rPr>
                <w:b/>
              </w:rPr>
            </w:pPr>
          </w:p>
        </w:tc>
      </w:tr>
      <w:tr w:rsidR="00DC1F65" w14:paraId="5ABF8645" w14:textId="77777777" w:rsidTr="00345119">
        <w:tc>
          <w:tcPr>
            <w:tcW w:w="9576" w:type="dxa"/>
          </w:tcPr>
          <w:p w14:paraId="36852366" w14:textId="77777777" w:rsidR="008423E4" w:rsidRPr="00A8133F" w:rsidRDefault="00147C5D" w:rsidP="00C277FB">
            <w:pPr>
              <w:rPr>
                <w:b/>
              </w:rPr>
            </w:pPr>
            <w:r w:rsidRPr="009C1E9A">
              <w:rPr>
                <w:b/>
                <w:u w:val="single"/>
              </w:rPr>
              <w:t>EFFECTIVE DATE</w:t>
            </w:r>
            <w:r>
              <w:rPr>
                <w:b/>
              </w:rPr>
              <w:t xml:space="preserve"> </w:t>
            </w:r>
          </w:p>
          <w:p w14:paraId="2CABD46D" w14:textId="77777777" w:rsidR="008423E4" w:rsidRDefault="008423E4" w:rsidP="00C277FB"/>
          <w:p w14:paraId="5701214E" w14:textId="5261C537" w:rsidR="008423E4" w:rsidRPr="003624F2" w:rsidRDefault="00147C5D" w:rsidP="00C277FB">
            <w:pPr>
              <w:pStyle w:val="Header"/>
              <w:tabs>
                <w:tab w:val="clear" w:pos="4320"/>
                <w:tab w:val="clear" w:pos="8640"/>
              </w:tabs>
              <w:jc w:val="both"/>
            </w:pPr>
            <w:r>
              <w:t>On passage, or, if the bill does not receive the necessary vote, September 1, 2021.</w:t>
            </w:r>
          </w:p>
          <w:p w14:paraId="616780A8" w14:textId="77777777" w:rsidR="008423E4" w:rsidRPr="00233FDB" w:rsidRDefault="008423E4" w:rsidP="00C277FB">
            <w:pPr>
              <w:rPr>
                <w:b/>
              </w:rPr>
            </w:pPr>
          </w:p>
        </w:tc>
      </w:tr>
    </w:tbl>
    <w:p w14:paraId="008EEBB9" w14:textId="77777777" w:rsidR="008423E4" w:rsidRPr="00BE0E75" w:rsidRDefault="008423E4" w:rsidP="00C277FB">
      <w:pPr>
        <w:jc w:val="both"/>
        <w:rPr>
          <w:rFonts w:ascii="Arial" w:hAnsi="Arial"/>
          <w:sz w:val="16"/>
          <w:szCs w:val="16"/>
        </w:rPr>
      </w:pPr>
    </w:p>
    <w:p w14:paraId="05F5C5D8" w14:textId="77777777" w:rsidR="004108C3" w:rsidRPr="008423E4" w:rsidRDefault="004108C3" w:rsidP="00C277F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4A49" w14:textId="77777777" w:rsidR="00000000" w:rsidRDefault="00147C5D">
      <w:r>
        <w:separator/>
      </w:r>
    </w:p>
  </w:endnote>
  <w:endnote w:type="continuationSeparator" w:id="0">
    <w:p w14:paraId="0BC51F77" w14:textId="77777777" w:rsidR="00000000" w:rsidRDefault="0014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840B"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C1F65" w14:paraId="02F57758" w14:textId="77777777" w:rsidTr="009C1E9A">
      <w:trPr>
        <w:cantSplit/>
      </w:trPr>
      <w:tc>
        <w:tcPr>
          <w:tcW w:w="0" w:type="pct"/>
        </w:tcPr>
        <w:p w14:paraId="7B1EA637" w14:textId="77777777" w:rsidR="00137D90" w:rsidRDefault="00137D90" w:rsidP="009C1E9A">
          <w:pPr>
            <w:pStyle w:val="Footer"/>
            <w:tabs>
              <w:tab w:val="clear" w:pos="8640"/>
              <w:tab w:val="right" w:pos="9360"/>
            </w:tabs>
          </w:pPr>
        </w:p>
      </w:tc>
      <w:tc>
        <w:tcPr>
          <w:tcW w:w="2395" w:type="pct"/>
        </w:tcPr>
        <w:p w14:paraId="61DB8F67" w14:textId="77777777" w:rsidR="00137D90" w:rsidRDefault="00137D90" w:rsidP="009C1E9A">
          <w:pPr>
            <w:pStyle w:val="Footer"/>
            <w:tabs>
              <w:tab w:val="clear" w:pos="8640"/>
              <w:tab w:val="right" w:pos="9360"/>
            </w:tabs>
          </w:pPr>
        </w:p>
        <w:p w14:paraId="3F195356" w14:textId="77777777" w:rsidR="001A4310" w:rsidRDefault="001A4310" w:rsidP="009C1E9A">
          <w:pPr>
            <w:pStyle w:val="Footer"/>
            <w:tabs>
              <w:tab w:val="clear" w:pos="8640"/>
              <w:tab w:val="right" w:pos="9360"/>
            </w:tabs>
          </w:pPr>
        </w:p>
        <w:p w14:paraId="499ED9D1" w14:textId="77777777" w:rsidR="00137D90" w:rsidRDefault="00137D90" w:rsidP="009C1E9A">
          <w:pPr>
            <w:pStyle w:val="Footer"/>
            <w:tabs>
              <w:tab w:val="clear" w:pos="8640"/>
              <w:tab w:val="right" w:pos="9360"/>
            </w:tabs>
          </w:pPr>
        </w:p>
      </w:tc>
      <w:tc>
        <w:tcPr>
          <w:tcW w:w="2453" w:type="pct"/>
        </w:tcPr>
        <w:p w14:paraId="6E16FD04" w14:textId="77777777" w:rsidR="00137D90" w:rsidRDefault="00137D90" w:rsidP="009C1E9A">
          <w:pPr>
            <w:pStyle w:val="Footer"/>
            <w:tabs>
              <w:tab w:val="clear" w:pos="8640"/>
              <w:tab w:val="right" w:pos="9360"/>
            </w:tabs>
            <w:jc w:val="right"/>
          </w:pPr>
        </w:p>
      </w:tc>
    </w:tr>
    <w:tr w:rsidR="00DC1F65" w14:paraId="55E9016F" w14:textId="77777777" w:rsidTr="009C1E9A">
      <w:trPr>
        <w:cantSplit/>
      </w:trPr>
      <w:tc>
        <w:tcPr>
          <w:tcW w:w="0" w:type="pct"/>
        </w:tcPr>
        <w:p w14:paraId="1DF02C3C" w14:textId="77777777" w:rsidR="00EC379B" w:rsidRDefault="00EC379B" w:rsidP="009C1E9A">
          <w:pPr>
            <w:pStyle w:val="Footer"/>
            <w:tabs>
              <w:tab w:val="clear" w:pos="8640"/>
              <w:tab w:val="right" w:pos="9360"/>
            </w:tabs>
          </w:pPr>
        </w:p>
      </w:tc>
      <w:tc>
        <w:tcPr>
          <w:tcW w:w="2395" w:type="pct"/>
        </w:tcPr>
        <w:p w14:paraId="21DDB54B" w14:textId="4E345C9D" w:rsidR="00EC379B" w:rsidRPr="009C1E9A" w:rsidRDefault="00147C5D" w:rsidP="009C1E9A">
          <w:pPr>
            <w:pStyle w:val="Footer"/>
            <w:tabs>
              <w:tab w:val="clear" w:pos="8640"/>
              <w:tab w:val="right" w:pos="9360"/>
            </w:tabs>
            <w:rPr>
              <w:rFonts w:ascii="Shruti" w:hAnsi="Shruti"/>
              <w:sz w:val="22"/>
            </w:rPr>
          </w:pPr>
          <w:r>
            <w:rPr>
              <w:rFonts w:ascii="Shruti" w:hAnsi="Shruti"/>
              <w:sz w:val="22"/>
            </w:rPr>
            <w:t>87R 17756</w:t>
          </w:r>
        </w:p>
      </w:tc>
      <w:tc>
        <w:tcPr>
          <w:tcW w:w="2453" w:type="pct"/>
        </w:tcPr>
        <w:p w14:paraId="5180D144" w14:textId="109C6324" w:rsidR="00EC379B" w:rsidRDefault="00147C5D" w:rsidP="009C1E9A">
          <w:pPr>
            <w:pStyle w:val="Footer"/>
            <w:tabs>
              <w:tab w:val="clear" w:pos="8640"/>
              <w:tab w:val="right" w:pos="9360"/>
            </w:tabs>
            <w:jc w:val="right"/>
          </w:pPr>
          <w:r>
            <w:fldChar w:fldCharType="begin"/>
          </w:r>
          <w:r>
            <w:instrText xml:space="preserve"> DOCPROPERTY  OTID  \* MERGEFORMAT </w:instrText>
          </w:r>
          <w:r>
            <w:fldChar w:fldCharType="separate"/>
          </w:r>
          <w:r w:rsidR="009F798A">
            <w:t>21.90.1253</w:t>
          </w:r>
          <w:r>
            <w:fldChar w:fldCharType="end"/>
          </w:r>
        </w:p>
      </w:tc>
    </w:tr>
    <w:tr w:rsidR="00DC1F65" w14:paraId="5C07B456" w14:textId="77777777" w:rsidTr="009C1E9A">
      <w:trPr>
        <w:cantSplit/>
      </w:trPr>
      <w:tc>
        <w:tcPr>
          <w:tcW w:w="0" w:type="pct"/>
        </w:tcPr>
        <w:p w14:paraId="66E8D018" w14:textId="77777777" w:rsidR="00EC379B" w:rsidRDefault="00EC379B" w:rsidP="009C1E9A">
          <w:pPr>
            <w:pStyle w:val="Footer"/>
            <w:tabs>
              <w:tab w:val="clear" w:pos="4320"/>
              <w:tab w:val="clear" w:pos="8640"/>
              <w:tab w:val="left" w:pos="2865"/>
            </w:tabs>
          </w:pPr>
        </w:p>
      </w:tc>
      <w:tc>
        <w:tcPr>
          <w:tcW w:w="2395" w:type="pct"/>
        </w:tcPr>
        <w:p w14:paraId="0C842195"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4090415" w14:textId="77777777" w:rsidR="00EC379B" w:rsidRDefault="00EC379B" w:rsidP="006D504F">
          <w:pPr>
            <w:pStyle w:val="Footer"/>
            <w:rPr>
              <w:rStyle w:val="PageNumber"/>
            </w:rPr>
          </w:pPr>
        </w:p>
        <w:p w14:paraId="28EE60E3" w14:textId="77777777" w:rsidR="00EC379B" w:rsidRDefault="00EC379B" w:rsidP="009C1E9A">
          <w:pPr>
            <w:pStyle w:val="Footer"/>
            <w:tabs>
              <w:tab w:val="clear" w:pos="8640"/>
              <w:tab w:val="right" w:pos="9360"/>
            </w:tabs>
            <w:jc w:val="right"/>
          </w:pPr>
        </w:p>
      </w:tc>
    </w:tr>
    <w:tr w:rsidR="00DC1F65" w14:paraId="7AA53827" w14:textId="77777777" w:rsidTr="009C1E9A">
      <w:trPr>
        <w:cantSplit/>
        <w:trHeight w:val="323"/>
      </w:trPr>
      <w:tc>
        <w:tcPr>
          <w:tcW w:w="0" w:type="pct"/>
          <w:gridSpan w:val="3"/>
        </w:tcPr>
        <w:p w14:paraId="2E9E3936" w14:textId="502C6CC3" w:rsidR="00EC379B" w:rsidRDefault="00147C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277FB">
            <w:rPr>
              <w:rStyle w:val="PageNumber"/>
              <w:noProof/>
            </w:rPr>
            <w:t>1</w:t>
          </w:r>
          <w:r>
            <w:rPr>
              <w:rStyle w:val="PageNumber"/>
            </w:rPr>
            <w:fldChar w:fldCharType="end"/>
          </w:r>
        </w:p>
        <w:p w14:paraId="07058AA9" w14:textId="77777777" w:rsidR="00EC379B" w:rsidRDefault="00EC379B" w:rsidP="009C1E9A">
          <w:pPr>
            <w:pStyle w:val="Footer"/>
            <w:tabs>
              <w:tab w:val="clear" w:pos="8640"/>
              <w:tab w:val="right" w:pos="9360"/>
            </w:tabs>
            <w:jc w:val="center"/>
          </w:pPr>
        </w:p>
      </w:tc>
    </w:tr>
  </w:tbl>
  <w:p w14:paraId="2F682A4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80C6"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BAB6" w14:textId="77777777" w:rsidR="00000000" w:rsidRDefault="00147C5D">
      <w:r>
        <w:separator/>
      </w:r>
    </w:p>
  </w:footnote>
  <w:footnote w:type="continuationSeparator" w:id="0">
    <w:p w14:paraId="309A7F47" w14:textId="77777777" w:rsidR="00000000" w:rsidRDefault="0014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D0D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C3F4"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E911"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3560"/>
    <w:multiLevelType w:val="hybridMultilevel"/>
    <w:tmpl w:val="14F2CBF2"/>
    <w:lvl w:ilvl="0" w:tplc="F4E232B2">
      <w:start w:val="1"/>
      <w:numFmt w:val="decimal"/>
      <w:lvlText w:val="(%1)"/>
      <w:lvlJc w:val="left"/>
      <w:pPr>
        <w:ind w:left="795" w:hanging="435"/>
      </w:pPr>
      <w:rPr>
        <w:rFonts w:hint="default"/>
      </w:rPr>
    </w:lvl>
    <w:lvl w:ilvl="1" w:tplc="3374316C" w:tentative="1">
      <w:start w:val="1"/>
      <w:numFmt w:val="lowerLetter"/>
      <w:lvlText w:val="%2."/>
      <w:lvlJc w:val="left"/>
      <w:pPr>
        <w:ind w:left="1440" w:hanging="360"/>
      </w:pPr>
    </w:lvl>
    <w:lvl w:ilvl="2" w:tplc="5E72D96A" w:tentative="1">
      <w:start w:val="1"/>
      <w:numFmt w:val="lowerRoman"/>
      <w:lvlText w:val="%3."/>
      <w:lvlJc w:val="right"/>
      <w:pPr>
        <w:ind w:left="2160" w:hanging="180"/>
      </w:pPr>
    </w:lvl>
    <w:lvl w:ilvl="3" w:tplc="64FA3D98" w:tentative="1">
      <w:start w:val="1"/>
      <w:numFmt w:val="decimal"/>
      <w:lvlText w:val="%4."/>
      <w:lvlJc w:val="left"/>
      <w:pPr>
        <w:ind w:left="2880" w:hanging="360"/>
      </w:pPr>
    </w:lvl>
    <w:lvl w:ilvl="4" w:tplc="61125C3A" w:tentative="1">
      <w:start w:val="1"/>
      <w:numFmt w:val="lowerLetter"/>
      <w:lvlText w:val="%5."/>
      <w:lvlJc w:val="left"/>
      <w:pPr>
        <w:ind w:left="3600" w:hanging="360"/>
      </w:pPr>
    </w:lvl>
    <w:lvl w:ilvl="5" w:tplc="A1CE09F8" w:tentative="1">
      <w:start w:val="1"/>
      <w:numFmt w:val="lowerRoman"/>
      <w:lvlText w:val="%6."/>
      <w:lvlJc w:val="right"/>
      <w:pPr>
        <w:ind w:left="4320" w:hanging="180"/>
      </w:pPr>
    </w:lvl>
    <w:lvl w:ilvl="6" w:tplc="D6A8857C" w:tentative="1">
      <w:start w:val="1"/>
      <w:numFmt w:val="decimal"/>
      <w:lvlText w:val="%7."/>
      <w:lvlJc w:val="left"/>
      <w:pPr>
        <w:ind w:left="5040" w:hanging="360"/>
      </w:pPr>
    </w:lvl>
    <w:lvl w:ilvl="7" w:tplc="52283746" w:tentative="1">
      <w:start w:val="1"/>
      <w:numFmt w:val="lowerLetter"/>
      <w:lvlText w:val="%8."/>
      <w:lvlJc w:val="left"/>
      <w:pPr>
        <w:ind w:left="5760" w:hanging="360"/>
      </w:pPr>
    </w:lvl>
    <w:lvl w:ilvl="8" w:tplc="EA987F7A" w:tentative="1">
      <w:start w:val="1"/>
      <w:numFmt w:val="lowerRoman"/>
      <w:lvlText w:val="%9."/>
      <w:lvlJc w:val="right"/>
      <w:pPr>
        <w:ind w:left="6480" w:hanging="180"/>
      </w:pPr>
    </w:lvl>
  </w:abstractNum>
  <w:abstractNum w:abstractNumId="1" w15:restartNumberingAfterBreak="0">
    <w:nsid w:val="32DF455D"/>
    <w:multiLevelType w:val="hybridMultilevel"/>
    <w:tmpl w:val="AAB0A870"/>
    <w:lvl w:ilvl="0" w:tplc="49326764">
      <w:start w:val="1"/>
      <w:numFmt w:val="bullet"/>
      <w:lvlText w:val=""/>
      <w:lvlJc w:val="left"/>
      <w:pPr>
        <w:ind w:left="720" w:hanging="360"/>
      </w:pPr>
      <w:rPr>
        <w:rFonts w:ascii="Symbol" w:hAnsi="Symbol" w:hint="default"/>
      </w:rPr>
    </w:lvl>
    <w:lvl w:ilvl="1" w:tplc="C5A008BE" w:tentative="1">
      <w:start w:val="1"/>
      <w:numFmt w:val="bullet"/>
      <w:lvlText w:val="o"/>
      <w:lvlJc w:val="left"/>
      <w:pPr>
        <w:ind w:left="1440" w:hanging="360"/>
      </w:pPr>
      <w:rPr>
        <w:rFonts w:ascii="Courier New" w:hAnsi="Courier New" w:cs="Courier New" w:hint="default"/>
      </w:rPr>
    </w:lvl>
    <w:lvl w:ilvl="2" w:tplc="DADE25CA" w:tentative="1">
      <w:start w:val="1"/>
      <w:numFmt w:val="bullet"/>
      <w:lvlText w:val=""/>
      <w:lvlJc w:val="left"/>
      <w:pPr>
        <w:ind w:left="2160" w:hanging="360"/>
      </w:pPr>
      <w:rPr>
        <w:rFonts w:ascii="Wingdings" w:hAnsi="Wingdings" w:hint="default"/>
      </w:rPr>
    </w:lvl>
    <w:lvl w:ilvl="3" w:tplc="1F16F55E" w:tentative="1">
      <w:start w:val="1"/>
      <w:numFmt w:val="bullet"/>
      <w:lvlText w:val=""/>
      <w:lvlJc w:val="left"/>
      <w:pPr>
        <w:ind w:left="2880" w:hanging="360"/>
      </w:pPr>
      <w:rPr>
        <w:rFonts w:ascii="Symbol" w:hAnsi="Symbol" w:hint="default"/>
      </w:rPr>
    </w:lvl>
    <w:lvl w:ilvl="4" w:tplc="D3E490C8" w:tentative="1">
      <w:start w:val="1"/>
      <w:numFmt w:val="bullet"/>
      <w:lvlText w:val="o"/>
      <w:lvlJc w:val="left"/>
      <w:pPr>
        <w:ind w:left="3600" w:hanging="360"/>
      </w:pPr>
      <w:rPr>
        <w:rFonts w:ascii="Courier New" w:hAnsi="Courier New" w:cs="Courier New" w:hint="default"/>
      </w:rPr>
    </w:lvl>
    <w:lvl w:ilvl="5" w:tplc="CA083724" w:tentative="1">
      <w:start w:val="1"/>
      <w:numFmt w:val="bullet"/>
      <w:lvlText w:val=""/>
      <w:lvlJc w:val="left"/>
      <w:pPr>
        <w:ind w:left="4320" w:hanging="360"/>
      </w:pPr>
      <w:rPr>
        <w:rFonts w:ascii="Wingdings" w:hAnsi="Wingdings" w:hint="default"/>
      </w:rPr>
    </w:lvl>
    <w:lvl w:ilvl="6" w:tplc="C37882E2" w:tentative="1">
      <w:start w:val="1"/>
      <w:numFmt w:val="bullet"/>
      <w:lvlText w:val=""/>
      <w:lvlJc w:val="left"/>
      <w:pPr>
        <w:ind w:left="5040" w:hanging="360"/>
      </w:pPr>
      <w:rPr>
        <w:rFonts w:ascii="Symbol" w:hAnsi="Symbol" w:hint="default"/>
      </w:rPr>
    </w:lvl>
    <w:lvl w:ilvl="7" w:tplc="B92AFAA0" w:tentative="1">
      <w:start w:val="1"/>
      <w:numFmt w:val="bullet"/>
      <w:lvlText w:val="o"/>
      <w:lvlJc w:val="left"/>
      <w:pPr>
        <w:ind w:left="5760" w:hanging="360"/>
      </w:pPr>
      <w:rPr>
        <w:rFonts w:ascii="Courier New" w:hAnsi="Courier New" w:cs="Courier New" w:hint="default"/>
      </w:rPr>
    </w:lvl>
    <w:lvl w:ilvl="8" w:tplc="69D0AFBE" w:tentative="1">
      <w:start w:val="1"/>
      <w:numFmt w:val="bullet"/>
      <w:lvlText w:val=""/>
      <w:lvlJc w:val="left"/>
      <w:pPr>
        <w:ind w:left="6480" w:hanging="360"/>
      </w:pPr>
      <w:rPr>
        <w:rFonts w:ascii="Wingdings" w:hAnsi="Wingdings" w:hint="default"/>
      </w:rPr>
    </w:lvl>
  </w:abstractNum>
  <w:abstractNum w:abstractNumId="2" w15:restartNumberingAfterBreak="0">
    <w:nsid w:val="35D908D9"/>
    <w:multiLevelType w:val="hybridMultilevel"/>
    <w:tmpl w:val="2A56A6AC"/>
    <w:lvl w:ilvl="0" w:tplc="76D09606">
      <w:start w:val="1"/>
      <w:numFmt w:val="bullet"/>
      <w:lvlText w:val=""/>
      <w:lvlJc w:val="left"/>
      <w:pPr>
        <w:ind w:left="720" w:hanging="360"/>
      </w:pPr>
      <w:rPr>
        <w:rFonts w:ascii="Symbol" w:hAnsi="Symbol" w:hint="default"/>
      </w:rPr>
    </w:lvl>
    <w:lvl w:ilvl="1" w:tplc="FBCA0BB0" w:tentative="1">
      <w:start w:val="1"/>
      <w:numFmt w:val="bullet"/>
      <w:lvlText w:val="o"/>
      <w:lvlJc w:val="left"/>
      <w:pPr>
        <w:ind w:left="1440" w:hanging="360"/>
      </w:pPr>
      <w:rPr>
        <w:rFonts w:ascii="Courier New" w:hAnsi="Courier New" w:cs="Courier New" w:hint="default"/>
      </w:rPr>
    </w:lvl>
    <w:lvl w:ilvl="2" w:tplc="DA5C7BEE" w:tentative="1">
      <w:start w:val="1"/>
      <w:numFmt w:val="bullet"/>
      <w:lvlText w:val=""/>
      <w:lvlJc w:val="left"/>
      <w:pPr>
        <w:ind w:left="2160" w:hanging="360"/>
      </w:pPr>
      <w:rPr>
        <w:rFonts w:ascii="Wingdings" w:hAnsi="Wingdings" w:hint="default"/>
      </w:rPr>
    </w:lvl>
    <w:lvl w:ilvl="3" w:tplc="FD74FEC4" w:tentative="1">
      <w:start w:val="1"/>
      <w:numFmt w:val="bullet"/>
      <w:lvlText w:val=""/>
      <w:lvlJc w:val="left"/>
      <w:pPr>
        <w:ind w:left="2880" w:hanging="360"/>
      </w:pPr>
      <w:rPr>
        <w:rFonts w:ascii="Symbol" w:hAnsi="Symbol" w:hint="default"/>
      </w:rPr>
    </w:lvl>
    <w:lvl w:ilvl="4" w:tplc="700C1828" w:tentative="1">
      <w:start w:val="1"/>
      <w:numFmt w:val="bullet"/>
      <w:lvlText w:val="o"/>
      <w:lvlJc w:val="left"/>
      <w:pPr>
        <w:ind w:left="3600" w:hanging="360"/>
      </w:pPr>
      <w:rPr>
        <w:rFonts w:ascii="Courier New" w:hAnsi="Courier New" w:cs="Courier New" w:hint="default"/>
      </w:rPr>
    </w:lvl>
    <w:lvl w:ilvl="5" w:tplc="1AB604DE" w:tentative="1">
      <w:start w:val="1"/>
      <w:numFmt w:val="bullet"/>
      <w:lvlText w:val=""/>
      <w:lvlJc w:val="left"/>
      <w:pPr>
        <w:ind w:left="4320" w:hanging="360"/>
      </w:pPr>
      <w:rPr>
        <w:rFonts w:ascii="Wingdings" w:hAnsi="Wingdings" w:hint="default"/>
      </w:rPr>
    </w:lvl>
    <w:lvl w:ilvl="6" w:tplc="2CBC7606" w:tentative="1">
      <w:start w:val="1"/>
      <w:numFmt w:val="bullet"/>
      <w:lvlText w:val=""/>
      <w:lvlJc w:val="left"/>
      <w:pPr>
        <w:ind w:left="5040" w:hanging="360"/>
      </w:pPr>
      <w:rPr>
        <w:rFonts w:ascii="Symbol" w:hAnsi="Symbol" w:hint="default"/>
      </w:rPr>
    </w:lvl>
    <w:lvl w:ilvl="7" w:tplc="66684240" w:tentative="1">
      <w:start w:val="1"/>
      <w:numFmt w:val="bullet"/>
      <w:lvlText w:val="o"/>
      <w:lvlJc w:val="left"/>
      <w:pPr>
        <w:ind w:left="5760" w:hanging="360"/>
      </w:pPr>
      <w:rPr>
        <w:rFonts w:ascii="Courier New" w:hAnsi="Courier New" w:cs="Courier New" w:hint="default"/>
      </w:rPr>
    </w:lvl>
    <w:lvl w:ilvl="8" w:tplc="267814EC" w:tentative="1">
      <w:start w:val="1"/>
      <w:numFmt w:val="bullet"/>
      <w:lvlText w:val=""/>
      <w:lvlJc w:val="left"/>
      <w:pPr>
        <w:ind w:left="6480" w:hanging="360"/>
      </w:pPr>
      <w:rPr>
        <w:rFonts w:ascii="Wingdings" w:hAnsi="Wingdings" w:hint="default"/>
      </w:rPr>
    </w:lvl>
  </w:abstractNum>
  <w:abstractNum w:abstractNumId="3" w15:restartNumberingAfterBreak="0">
    <w:nsid w:val="4E0972F9"/>
    <w:multiLevelType w:val="hybridMultilevel"/>
    <w:tmpl w:val="0082D3C6"/>
    <w:lvl w:ilvl="0" w:tplc="6228378C">
      <w:start w:val="1"/>
      <w:numFmt w:val="decimal"/>
      <w:lvlText w:val="(%1)"/>
      <w:lvlJc w:val="left"/>
      <w:pPr>
        <w:ind w:left="758" w:hanging="398"/>
      </w:pPr>
      <w:rPr>
        <w:rFonts w:hint="default"/>
      </w:rPr>
    </w:lvl>
    <w:lvl w:ilvl="1" w:tplc="6C16E08C" w:tentative="1">
      <w:start w:val="1"/>
      <w:numFmt w:val="lowerLetter"/>
      <w:lvlText w:val="%2."/>
      <w:lvlJc w:val="left"/>
      <w:pPr>
        <w:ind w:left="1440" w:hanging="360"/>
      </w:pPr>
    </w:lvl>
    <w:lvl w:ilvl="2" w:tplc="D85AB540" w:tentative="1">
      <w:start w:val="1"/>
      <w:numFmt w:val="lowerRoman"/>
      <w:lvlText w:val="%3."/>
      <w:lvlJc w:val="right"/>
      <w:pPr>
        <w:ind w:left="2160" w:hanging="180"/>
      </w:pPr>
    </w:lvl>
    <w:lvl w:ilvl="3" w:tplc="EC8EA576" w:tentative="1">
      <w:start w:val="1"/>
      <w:numFmt w:val="decimal"/>
      <w:lvlText w:val="%4."/>
      <w:lvlJc w:val="left"/>
      <w:pPr>
        <w:ind w:left="2880" w:hanging="360"/>
      </w:pPr>
    </w:lvl>
    <w:lvl w:ilvl="4" w:tplc="538A493E" w:tentative="1">
      <w:start w:val="1"/>
      <w:numFmt w:val="lowerLetter"/>
      <w:lvlText w:val="%5."/>
      <w:lvlJc w:val="left"/>
      <w:pPr>
        <w:ind w:left="3600" w:hanging="360"/>
      </w:pPr>
    </w:lvl>
    <w:lvl w:ilvl="5" w:tplc="1C460628" w:tentative="1">
      <w:start w:val="1"/>
      <w:numFmt w:val="lowerRoman"/>
      <w:lvlText w:val="%6."/>
      <w:lvlJc w:val="right"/>
      <w:pPr>
        <w:ind w:left="4320" w:hanging="180"/>
      </w:pPr>
    </w:lvl>
    <w:lvl w:ilvl="6" w:tplc="A2924F66" w:tentative="1">
      <w:start w:val="1"/>
      <w:numFmt w:val="decimal"/>
      <w:lvlText w:val="%7."/>
      <w:lvlJc w:val="left"/>
      <w:pPr>
        <w:ind w:left="5040" w:hanging="360"/>
      </w:pPr>
    </w:lvl>
    <w:lvl w:ilvl="7" w:tplc="546E7CE2" w:tentative="1">
      <w:start w:val="1"/>
      <w:numFmt w:val="lowerLetter"/>
      <w:lvlText w:val="%8."/>
      <w:lvlJc w:val="left"/>
      <w:pPr>
        <w:ind w:left="5760" w:hanging="360"/>
      </w:pPr>
    </w:lvl>
    <w:lvl w:ilvl="8" w:tplc="6954308C" w:tentative="1">
      <w:start w:val="1"/>
      <w:numFmt w:val="lowerRoman"/>
      <w:lvlText w:val="%9."/>
      <w:lvlJc w:val="right"/>
      <w:pPr>
        <w:ind w:left="6480" w:hanging="180"/>
      </w:pPr>
    </w:lvl>
  </w:abstractNum>
  <w:abstractNum w:abstractNumId="4" w15:restartNumberingAfterBreak="0">
    <w:nsid w:val="676016C7"/>
    <w:multiLevelType w:val="hybridMultilevel"/>
    <w:tmpl w:val="F38256CC"/>
    <w:lvl w:ilvl="0" w:tplc="342E16AA">
      <w:start w:val="1"/>
      <w:numFmt w:val="bullet"/>
      <w:lvlText w:val=""/>
      <w:lvlJc w:val="left"/>
      <w:pPr>
        <w:ind w:left="720" w:hanging="360"/>
      </w:pPr>
      <w:rPr>
        <w:rFonts w:ascii="Symbol" w:hAnsi="Symbol" w:hint="default"/>
      </w:rPr>
    </w:lvl>
    <w:lvl w:ilvl="1" w:tplc="EEE2D208">
      <w:start w:val="1"/>
      <w:numFmt w:val="bullet"/>
      <w:lvlText w:val="o"/>
      <w:lvlJc w:val="left"/>
      <w:pPr>
        <w:ind w:left="1440" w:hanging="360"/>
      </w:pPr>
      <w:rPr>
        <w:rFonts w:ascii="Courier New" w:hAnsi="Courier New" w:cs="Courier New" w:hint="default"/>
      </w:rPr>
    </w:lvl>
    <w:lvl w:ilvl="2" w:tplc="1F682B8E" w:tentative="1">
      <w:start w:val="1"/>
      <w:numFmt w:val="bullet"/>
      <w:lvlText w:val=""/>
      <w:lvlJc w:val="left"/>
      <w:pPr>
        <w:ind w:left="2160" w:hanging="360"/>
      </w:pPr>
      <w:rPr>
        <w:rFonts w:ascii="Wingdings" w:hAnsi="Wingdings" w:hint="default"/>
      </w:rPr>
    </w:lvl>
    <w:lvl w:ilvl="3" w:tplc="326250AC" w:tentative="1">
      <w:start w:val="1"/>
      <w:numFmt w:val="bullet"/>
      <w:lvlText w:val=""/>
      <w:lvlJc w:val="left"/>
      <w:pPr>
        <w:ind w:left="2880" w:hanging="360"/>
      </w:pPr>
      <w:rPr>
        <w:rFonts w:ascii="Symbol" w:hAnsi="Symbol" w:hint="default"/>
      </w:rPr>
    </w:lvl>
    <w:lvl w:ilvl="4" w:tplc="714267FC" w:tentative="1">
      <w:start w:val="1"/>
      <w:numFmt w:val="bullet"/>
      <w:lvlText w:val="o"/>
      <w:lvlJc w:val="left"/>
      <w:pPr>
        <w:ind w:left="3600" w:hanging="360"/>
      </w:pPr>
      <w:rPr>
        <w:rFonts w:ascii="Courier New" w:hAnsi="Courier New" w:cs="Courier New" w:hint="default"/>
      </w:rPr>
    </w:lvl>
    <w:lvl w:ilvl="5" w:tplc="AF9A286E" w:tentative="1">
      <w:start w:val="1"/>
      <w:numFmt w:val="bullet"/>
      <w:lvlText w:val=""/>
      <w:lvlJc w:val="left"/>
      <w:pPr>
        <w:ind w:left="4320" w:hanging="360"/>
      </w:pPr>
      <w:rPr>
        <w:rFonts w:ascii="Wingdings" w:hAnsi="Wingdings" w:hint="default"/>
      </w:rPr>
    </w:lvl>
    <w:lvl w:ilvl="6" w:tplc="5DF62D22" w:tentative="1">
      <w:start w:val="1"/>
      <w:numFmt w:val="bullet"/>
      <w:lvlText w:val=""/>
      <w:lvlJc w:val="left"/>
      <w:pPr>
        <w:ind w:left="5040" w:hanging="360"/>
      </w:pPr>
      <w:rPr>
        <w:rFonts w:ascii="Symbol" w:hAnsi="Symbol" w:hint="default"/>
      </w:rPr>
    </w:lvl>
    <w:lvl w:ilvl="7" w:tplc="C248D8D0" w:tentative="1">
      <w:start w:val="1"/>
      <w:numFmt w:val="bullet"/>
      <w:lvlText w:val="o"/>
      <w:lvlJc w:val="left"/>
      <w:pPr>
        <w:ind w:left="5760" w:hanging="360"/>
      </w:pPr>
      <w:rPr>
        <w:rFonts w:ascii="Courier New" w:hAnsi="Courier New" w:cs="Courier New" w:hint="default"/>
      </w:rPr>
    </w:lvl>
    <w:lvl w:ilvl="8" w:tplc="599C2FE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99"/>
    <w:rsid w:val="00000A70"/>
    <w:rsid w:val="000032B8"/>
    <w:rsid w:val="00003B06"/>
    <w:rsid w:val="000054B9"/>
    <w:rsid w:val="00007461"/>
    <w:rsid w:val="00010D0C"/>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5CBB"/>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A4C"/>
    <w:rsid w:val="00143C8B"/>
    <w:rsid w:val="00147530"/>
    <w:rsid w:val="00147C5D"/>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2CB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5E4A"/>
    <w:rsid w:val="00277434"/>
    <w:rsid w:val="00280123"/>
    <w:rsid w:val="00281343"/>
    <w:rsid w:val="00281883"/>
    <w:rsid w:val="002869DF"/>
    <w:rsid w:val="002874E3"/>
    <w:rsid w:val="00287656"/>
    <w:rsid w:val="00291518"/>
    <w:rsid w:val="00296FF0"/>
    <w:rsid w:val="002A17C0"/>
    <w:rsid w:val="002A48DF"/>
    <w:rsid w:val="002A4E15"/>
    <w:rsid w:val="002A5A84"/>
    <w:rsid w:val="002A6E6F"/>
    <w:rsid w:val="002A74E4"/>
    <w:rsid w:val="002A7CFE"/>
    <w:rsid w:val="002B1A5A"/>
    <w:rsid w:val="002B26DD"/>
    <w:rsid w:val="002B2870"/>
    <w:rsid w:val="002B391B"/>
    <w:rsid w:val="002B5B42"/>
    <w:rsid w:val="002B7BA7"/>
    <w:rsid w:val="002C1C17"/>
    <w:rsid w:val="002C3203"/>
    <w:rsid w:val="002C3B07"/>
    <w:rsid w:val="002C532B"/>
    <w:rsid w:val="002C5713"/>
    <w:rsid w:val="002C5E9E"/>
    <w:rsid w:val="002D05CC"/>
    <w:rsid w:val="002D305A"/>
    <w:rsid w:val="002E1A33"/>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583"/>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3AF3"/>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354A"/>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F78"/>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29A4"/>
    <w:rsid w:val="004E3096"/>
    <w:rsid w:val="004E47F2"/>
    <w:rsid w:val="004E4E2B"/>
    <w:rsid w:val="004E5D4F"/>
    <w:rsid w:val="004E5DEA"/>
    <w:rsid w:val="004E6639"/>
    <w:rsid w:val="004E6BAE"/>
    <w:rsid w:val="004E7728"/>
    <w:rsid w:val="004F199D"/>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37A7D"/>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3B03"/>
    <w:rsid w:val="00576714"/>
    <w:rsid w:val="0057685A"/>
    <w:rsid w:val="005802BF"/>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884"/>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5B8"/>
    <w:rsid w:val="00630963"/>
    <w:rsid w:val="00631897"/>
    <w:rsid w:val="00632928"/>
    <w:rsid w:val="006330DA"/>
    <w:rsid w:val="00633262"/>
    <w:rsid w:val="00633460"/>
    <w:rsid w:val="006402E7"/>
    <w:rsid w:val="00640CB6"/>
    <w:rsid w:val="00641B42"/>
    <w:rsid w:val="00645750"/>
    <w:rsid w:val="006477D1"/>
    <w:rsid w:val="00650692"/>
    <w:rsid w:val="006508D3"/>
    <w:rsid w:val="00650AFA"/>
    <w:rsid w:val="006540F8"/>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3773"/>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1D99"/>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0D59"/>
    <w:rsid w:val="008A3188"/>
    <w:rsid w:val="008A3FDF"/>
    <w:rsid w:val="008A6418"/>
    <w:rsid w:val="008B05D8"/>
    <w:rsid w:val="008B0B3D"/>
    <w:rsid w:val="008B2B1A"/>
    <w:rsid w:val="008B3428"/>
    <w:rsid w:val="008B3F52"/>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2F1C"/>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2A3A"/>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9F798A"/>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92C"/>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97767"/>
    <w:rsid w:val="00AA18AE"/>
    <w:rsid w:val="00AA228B"/>
    <w:rsid w:val="00AA597A"/>
    <w:rsid w:val="00AA7E52"/>
    <w:rsid w:val="00AB1655"/>
    <w:rsid w:val="00AB1873"/>
    <w:rsid w:val="00AB2C05"/>
    <w:rsid w:val="00AB3536"/>
    <w:rsid w:val="00AB474B"/>
    <w:rsid w:val="00AB5CCC"/>
    <w:rsid w:val="00AB74E2"/>
    <w:rsid w:val="00AC2E9A"/>
    <w:rsid w:val="00AC378F"/>
    <w:rsid w:val="00AC5AAB"/>
    <w:rsid w:val="00AC5AEC"/>
    <w:rsid w:val="00AC5F28"/>
    <w:rsid w:val="00AC6900"/>
    <w:rsid w:val="00AD304B"/>
    <w:rsid w:val="00AD4497"/>
    <w:rsid w:val="00AD7780"/>
    <w:rsid w:val="00AE2263"/>
    <w:rsid w:val="00AE248E"/>
    <w:rsid w:val="00AE2D12"/>
    <w:rsid w:val="00AE2F06"/>
    <w:rsid w:val="00AE4379"/>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277FB"/>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69D"/>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1F65"/>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8B3"/>
    <w:rsid w:val="00E55DA0"/>
    <w:rsid w:val="00E56033"/>
    <w:rsid w:val="00E61159"/>
    <w:rsid w:val="00E625DA"/>
    <w:rsid w:val="00E634DC"/>
    <w:rsid w:val="00E659FD"/>
    <w:rsid w:val="00E667F3"/>
    <w:rsid w:val="00E67794"/>
    <w:rsid w:val="00E70CC6"/>
    <w:rsid w:val="00E71254"/>
    <w:rsid w:val="00E73CCD"/>
    <w:rsid w:val="00E76453"/>
    <w:rsid w:val="00E77353"/>
    <w:rsid w:val="00E775AE"/>
    <w:rsid w:val="00E8272C"/>
    <w:rsid w:val="00E827C7"/>
    <w:rsid w:val="00E85D45"/>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48FF"/>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5353B9-FE8E-4CAC-9FC3-2454A242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37A7D"/>
    <w:rPr>
      <w:sz w:val="16"/>
      <w:szCs w:val="16"/>
    </w:rPr>
  </w:style>
  <w:style w:type="paragraph" w:styleId="CommentText">
    <w:name w:val="annotation text"/>
    <w:basedOn w:val="Normal"/>
    <w:link w:val="CommentTextChar"/>
    <w:semiHidden/>
    <w:unhideWhenUsed/>
    <w:rsid w:val="00537A7D"/>
    <w:rPr>
      <w:sz w:val="20"/>
      <w:szCs w:val="20"/>
    </w:rPr>
  </w:style>
  <w:style w:type="character" w:customStyle="1" w:styleId="CommentTextChar">
    <w:name w:val="Comment Text Char"/>
    <w:basedOn w:val="DefaultParagraphFont"/>
    <w:link w:val="CommentText"/>
    <w:semiHidden/>
    <w:rsid w:val="00537A7D"/>
  </w:style>
  <w:style w:type="paragraph" w:styleId="CommentSubject">
    <w:name w:val="annotation subject"/>
    <w:basedOn w:val="CommentText"/>
    <w:next w:val="CommentText"/>
    <w:link w:val="CommentSubjectChar"/>
    <w:semiHidden/>
    <w:unhideWhenUsed/>
    <w:rsid w:val="00537A7D"/>
    <w:rPr>
      <w:b/>
      <w:bCs/>
    </w:rPr>
  </w:style>
  <w:style w:type="character" w:customStyle="1" w:styleId="CommentSubjectChar">
    <w:name w:val="Comment Subject Char"/>
    <w:basedOn w:val="CommentTextChar"/>
    <w:link w:val="CommentSubject"/>
    <w:semiHidden/>
    <w:rsid w:val="00537A7D"/>
    <w:rPr>
      <w:b/>
      <w:bCs/>
    </w:rPr>
  </w:style>
  <w:style w:type="paragraph" w:styleId="Revision">
    <w:name w:val="Revision"/>
    <w:hidden/>
    <w:uiPriority w:val="99"/>
    <w:semiHidden/>
    <w:rsid w:val="000E5CBB"/>
    <w:rPr>
      <w:sz w:val="24"/>
      <w:szCs w:val="24"/>
    </w:rPr>
  </w:style>
  <w:style w:type="character" w:styleId="Hyperlink">
    <w:name w:val="Hyperlink"/>
    <w:basedOn w:val="DefaultParagraphFont"/>
    <w:unhideWhenUsed/>
    <w:rsid w:val="00932F1C"/>
    <w:rPr>
      <w:color w:val="0000FF" w:themeColor="hyperlink"/>
      <w:u w:val="single"/>
    </w:rPr>
  </w:style>
  <w:style w:type="character" w:styleId="FollowedHyperlink">
    <w:name w:val="FollowedHyperlink"/>
    <w:basedOn w:val="DefaultParagraphFont"/>
    <w:semiHidden/>
    <w:unhideWhenUsed/>
    <w:rsid w:val="00473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3292</Characters>
  <Application>Microsoft Office Word</Application>
  <DocSecurity>4</DocSecurity>
  <Lines>80</Lines>
  <Paragraphs>28</Paragraphs>
  <ScaleCrop>false</ScaleCrop>
  <HeadingPairs>
    <vt:vector size="2" baseType="variant">
      <vt:variant>
        <vt:lpstr>Title</vt:lpstr>
      </vt:variant>
      <vt:variant>
        <vt:i4>1</vt:i4>
      </vt:variant>
    </vt:vector>
  </HeadingPairs>
  <TitlesOfParts>
    <vt:vector size="1" baseType="lpstr">
      <vt:lpstr>BA - HB01544 (Committee Report (Unamended))</vt:lpstr>
    </vt:vector>
  </TitlesOfParts>
  <Company>State of Texas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17756</dc:subject>
  <dc:creator>State of Texas</dc:creator>
  <dc:description>HB 1544 by Guillen-(H)Natural Resources</dc:description>
  <cp:lastModifiedBy>Thomas Weis</cp:lastModifiedBy>
  <cp:revision>2</cp:revision>
  <cp:lastPrinted>2003-11-26T17:21:00Z</cp:lastPrinted>
  <dcterms:created xsi:type="dcterms:W3CDTF">2021-04-06T23:29:00Z</dcterms:created>
  <dcterms:modified xsi:type="dcterms:W3CDTF">2021-04-06T23:29:00Z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21.90.1253</vt:lpwstr>
  </property>
</Properties>
</file>