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81FEC" w14:paraId="157FBE09" w14:textId="77777777" w:rsidTr="00345119">
        <w:tc>
          <w:tcPr>
            <w:tcW w:w="9576" w:type="dxa"/>
            <w:noWrap/>
          </w:tcPr>
          <w:p w14:paraId="4AF4341B" w14:textId="77777777" w:rsidR="008423E4" w:rsidRPr="0022177D" w:rsidRDefault="004E4458" w:rsidP="00790D20">
            <w:pPr>
              <w:pStyle w:val="Heading1"/>
            </w:pPr>
            <w:bookmarkStart w:id="0" w:name="_GoBack"/>
            <w:bookmarkEnd w:id="0"/>
            <w:r w:rsidRPr="00631897">
              <w:t>BILL ANALYSIS</w:t>
            </w:r>
          </w:p>
        </w:tc>
      </w:tr>
    </w:tbl>
    <w:p w14:paraId="60AA2B05" w14:textId="77777777" w:rsidR="008423E4" w:rsidRPr="0022177D" w:rsidRDefault="008423E4" w:rsidP="00790D20">
      <w:pPr>
        <w:jc w:val="center"/>
      </w:pPr>
    </w:p>
    <w:p w14:paraId="7B415127" w14:textId="77777777" w:rsidR="008423E4" w:rsidRPr="00B31F0E" w:rsidRDefault="008423E4" w:rsidP="00790D20"/>
    <w:p w14:paraId="13D34C6B" w14:textId="77777777" w:rsidR="008423E4" w:rsidRPr="00742794" w:rsidRDefault="008423E4" w:rsidP="00790D20">
      <w:pPr>
        <w:tabs>
          <w:tab w:val="right" w:pos="9360"/>
        </w:tabs>
      </w:pPr>
    </w:p>
    <w:tbl>
      <w:tblPr>
        <w:tblW w:w="0" w:type="auto"/>
        <w:tblLayout w:type="fixed"/>
        <w:tblLook w:val="01E0" w:firstRow="1" w:lastRow="1" w:firstColumn="1" w:lastColumn="1" w:noHBand="0" w:noVBand="0"/>
      </w:tblPr>
      <w:tblGrid>
        <w:gridCol w:w="9576"/>
      </w:tblGrid>
      <w:tr w:rsidR="00C81FEC" w14:paraId="7BABE90E" w14:textId="77777777" w:rsidTr="00345119">
        <w:tc>
          <w:tcPr>
            <w:tcW w:w="9576" w:type="dxa"/>
          </w:tcPr>
          <w:p w14:paraId="2C27531A" w14:textId="0667DC9E" w:rsidR="008423E4" w:rsidRPr="00861995" w:rsidRDefault="004E4458" w:rsidP="00790D20">
            <w:pPr>
              <w:jc w:val="right"/>
            </w:pPr>
            <w:r>
              <w:t>C.S.H.B. 1545</w:t>
            </w:r>
          </w:p>
        </w:tc>
      </w:tr>
      <w:tr w:rsidR="00C81FEC" w14:paraId="06748F39" w14:textId="77777777" w:rsidTr="00345119">
        <w:tc>
          <w:tcPr>
            <w:tcW w:w="9576" w:type="dxa"/>
          </w:tcPr>
          <w:p w14:paraId="0D18AB69" w14:textId="5ED25B7E" w:rsidR="008423E4" w:rsidRPr="00861995" w:rsidRDefault="004E4458" w:rsidP="00790D20">
            <w:pPr>
              <w:jc w:val="right"/>
            </w:pPr>
            <w:r>
              <w:t xml:space="preserve">By: </w:t>
            </w:r>
            <w:r w:rsidR="00831A40">
              <w:t>Cyrier</w:t>
            </w:r>
          </w:p>
        </w:tc>
      </w:tr>
      <w:tr w:rsidR="00C81FEC" w14:paraId="6A7839D6" w14:textId="77777777" w:rsidTr="00345119">
        <w:tc>
          <w:tcPr>
            <w:tcW w:w="9576" w:type="dxa"/>
          </w:tcPr>
          <w:p w14:paraId="40A73A66" w14:textId="78F3E786" w:rsidR="008423E4" w:rsidRPr="00861995" w:rsidRDefault="004E4458" w:rsidP="00790D20">
            <w:pPr>
              <w:jc w:val="right"/>
            </w:pPr>
            <w:r>
              <w:t>County Affairs</w:t>
            </w:r>
          </w:p>
        </w:tc>
      </w:tr>
      <w:tr w:rsidR="00C81FEC" w14:paraId="0B457276" w14:textId="77777777" w:rsidTr="00345119">
        <w:tc>
          <w:tcPr>
            <w:tcW w:w="9576" w:type="dxa"/>
          </w:tcPr>
          <w:p w14:paraId="214FBE54" w14:textId="7E929EC4" w:rsidR="008423E4" w:rsidRDefault="004E4458" w:rsidP="00790D20">
            <w:pPr>
              <w:jc w:val="right"/>
            </w:pPr>
            <w:r>
              <w:t>Committee Report (Substituted)</w:t>
            </w:r>
          </w:p>
        </w:tc>
      </w:tr>
    </w:tbl>
    <w:p w14:paraId="0244D976" w14:textId="77777777" w:rsidR="008423E4" w:rsidRDefault="008423E4" w:rsidP="00790D20">
      <w:pPr>
        <w:tabs>
          <w:tab w:val="right" w:pos="9360"/>
        </w:tabs>
      </w:pPr>
    </w:p>
    <w:p w14:paraId="26572703" w14:textId="77777777" w:rsidR="008423E4" w:rsidRDefault="008423E4" w:rsidP="00790D20"/>
    <w:p w14:paraId="788058D5" w14:textId="77777777" w:rsidR="008423E4" w:rsidRDefault="008423E4" w:rsidP="00790D20"/>
    <w:tbl>
      <w:tblPr>
        <w:tblW w:w="0" w:type="auto"/>
        <w:tblCellMar>
          <w:left w:w="115" w:type="dxa"/>
          <w:right w:w="115" w:type="dxa"/>
        </w:tblCellMar>
        <w:tblLook w:val="01E0" w:firstRow="1" w:lastRow="1" w:firstColumn="1" w:lastColumn="1" w:noHBand="0" w:noVBand="0"/>
      </w:tblPr>
      <w:tblGrid>
        <w:gridCol w:w="9360"/>
      </w:tblGrid>
      <w:tr w:rsidR="00C81FEC" w14:paraId="401C9EE5" w14:textId="77777777" w:rsidTr="002A34BE">
        <w:tc>
          <w:tcPr>
            <w:tcW w:w="9360" w:type="dxa"/>
          </w:tcPr>
          <w:p w14:paraId="6EDCE3CE" w14:textId="77777777" w:rsidR="008423E4" w:rsidRPr="00A8133F" w:rsidRDefault="004E4458" w:rsidP="00790D20">
            <w:pPr>
              <w:rPr>
                <w:b/>
              </w:rPr>
            </w:pPr>
            <w:r w:rsidRPr="009C1E9A">
              <w:rPr>
                <w:b/>
                <w:u w:val="single"/>
              </w:rPr>
              <w:t>BACKGROUND AND PURPOSE</w:t>
            </w:r>
            <w:r>
              <w:rPr>
                <w:b/>
              </w:rPr>
              <w:t xml:space="preserve"> </w:t>
            </w:r>
          </w:p>
          <w:p w14:paraId="2B1C3C90" w14:textId="77777777" w:rsidR="008423E4" w:rsidRDefault="008423E4" w:rsidP="00790D20"/>
          <w:p w14:paraId="754C3B59" w14:textId="7CB84D0A" w:rsidR="008423E4" w:rsidRDefault="004E4458" w:rsidP="00790D20">
            <w:pPr>
              <w:pStyle w:val="Header"/>
              <w:jc w:val="both"/>
            </w:pPr>
            <w:r>
              <w:t xml:space="preserve">While state law charges local elected officials with funding and operating jails, the Commission on Jail Standards (TCJS) sets and enforces minimum standards to help ensure these facilities are safe and secure. The most recent review by Sunset </w:t>
            </w:r>
            <w:r w:rsidR="00125956">
              <w:t xml:space="preserve">Advisory </w:t>
            </w:r>
            <w:r>
              <w:t>Com</w:t>
            </w:r>
            <w:r>
              <w:t>mission found that</w:t>
            </w:r>
            <w:r w:rsidR="0077399E">
              <w:t>,</w:t>
            </w:r>
            <w:r>
              <w:t xml:space="preserve"> while TCJS remains necessary and should be continued, there are areas in which TCJS has not kept pace with dynamic jail environments</w:t>
            </w:r>
            <w:r w:rsidR="00125956">
              <w:t>.</w:t>
            </w:r>
            <w:r>
              <w:t xml:space="preserve"> </w:t>
            </w:r>
            <w:r w:rsidR="00125956">
              <w:t xml:space="preserve">More specifically, the commission found that TCJS has overly </w:t>
            </w:r>
            <w:r w:rsidR="00915D87">
              <w:t xml:space="preserve">vague </w:t>
            </w:r>
            <w:r w:rsidR="00125956">
              <w:t>and outdated minimum</w:t>
            </w:r>
            <w:r>
              <w:t xml:space="preserve"> standards </w:t>
            </w:r>
            <w:r w:rsidR="00125956">
              <w:t>that do not</w:t>
            </w:r>
            <w:r>
              <w:t xml:space="preserve"> account for jails</w:t>
            </w:r>
            <w:r w:rsidR="00313BB1">
              <w:t>'</w:t>
            </w:r>
            <w:r>
              <w:t xml:space="preserve"> different </w:t>
            </w:r>
            <w:r w:rsidR="00125956">
              <w:t xml:space="preserve">levels of </w:t>
            </w:r>
            <w:r>
              <w:t>risk</w:t>
            </w:r>
            <w:r w:rsidR="00125956">
              <w:t xml:space="preserve"> and would benefit from improving its </w:t>
            </w:r>
            <w:r>
              <w:t>inspection</w:t>
            </w:r>
            <w:r w:rsidR="00125956">
              <w:t xml:space="preserve"> and</w:t>
            </w:r>
            <w:r>
              <w:t xml:space="preserve"> enforcement</w:t>
            </w:r>
            <w:r w:rsidR="00125956">
              <w:t xml:space="preserve"> procedures to more efficiently and effectively mitigate risks in jails. T</w:t>
            </w:r>
            <w:r>
              <w:t xml:space="preserve">he </w:t>
            </w:r>
            <w:r w:rsidR="00125956">
              <w:t>c</w:t>
            </w:r>
            <w:r>
              <w:t xml:space="preserve">ommission </w:t>
            </w:r>
            <w:r w:rsidR="00125956">
              <w:t xml:space="preserve">also </w:t>
            </w:r>
            <w:r>
              <w:t xml:space="preserve">found </w:t>
            </w:r>
            <w:r w:rsidR="00125956">
              <w:t>that TCJS</w:t>
            </w:r>
            <w:r>
              <w:t xml:space="preserve"> needs to improve its data collec</w:t>
            </w:r>
            <w:r>
              <w:t>tion and analysis practices to increase efficiency for staff and transparency for taxpayers.</w:t>
            </w:r>
            <w:r w:rsidR="00125956">
              <w:t xml:space="preserve"> </w:t>
            </w:r>
            <w:r w:rsidR="002A34BE">
              <w:t>C.S.H.B.</w:t>
            </w:r>
            <w:r w:rsidR="00125956">
              <w:t xml:space="preserve"> 1545 seeks to continue TCJS for 12 years with various statutory modifications aimed at addressing the commission's findings.</w:t>
            </w:r>
          </w:p>
          <w:p w14:paraId="088DB9C6" w14:textId="77777777" w:rsidR="008423E4" w:rsidRPr="00E26B13" w:rsidRDefault="008423E4" w:rsidP="00790D20">
            <w:pPr>
              <w:rPr>
                <w:b/>
              </w:rPr>
            </w:pPr>
          </w:p>
        </w:tc>
      </w:tr>
      <w:tr w:rsidR="00C81FEC" w14:paraId="136A5031" w14:textId="77777777" w:rsidTr="002A34BE">
        <w:tc>
          <w:tcPr>
            <w:tcW w:w="9360" w:type="dxa"/>
          </w:tcPr>
          <w:p w14:paraId="25089959" w14:textId="77777777" w:rsidR="0017725B" w:rsidRDefault="004E4458" w:rsidP="00790D20">
            <w:pPr>
              <w:rPr>
                <w:b/>
                <w:u w:val="single"/>
              </w:rPr>
            </w:pPr>
            <w:r>
              <w:rPr>
                <w:b/>
                <w:u w:val="single"/>
              </w:rPr>
              <w:t>CRIMINAL JUSTICE IMPACT</w:t>
            </w:r>
          </w:p>
          <w:p w14:paraId="55EFC339" w14:textId="77777777" w:rsidR="0017725B" w:rsidRDefault="0017725B" w:rsidP="00790D20">
            <w:pPr>
              <w:rPr>
                <w:b/>
                <w:u w:val="single"/>
              </w:rPr>
            </w:pPr>
          </w:p>
          <w:p w14:paraId="76D38E3D" w14:textId="0DB61F0D" w:rsidR="0039170B" w:rsidRPr="0039170B" w:rsidRDefault="004E4458" w:rsidP="00790D20">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14:paraId="18551744" w14:textId="77777777" w:rsidR="0017725B" w:rsidRPr="0017725B" w:rsidRDefault="0017725B" w:rsidP="00790D20">
            <w:pPr>
              <w:rPr>
                <w:b/>
                <w:u w:val="single"/>
              </w:rPr>
            </w:pPr>
          </w:p>
        </w:tc>
      </w:tr>
      <w:tr w:rsidR="00C81FEC" w14:paraId="2F0F8E5B" w14:textId="77777777" w:rsidTr="002A34BE">
        <w:tc>
          <w:tcPr>
            <w:tcW w:w="9360" w:type="dxa"/>
          </w:tcPr>
          <w:p w14:paraId="70931C06" w14:textId="77777777" w:rsidR="008423E4" w:rsidRPr="00A8133F" w:rsidRDefault="004E4458" w:rsidP="00790D20">
            <w:pPr>
              <w:rPr>
                <w:b/>
              </w:rPr>
            </w:pPr>
            <w:r w:rsidRPr="009C1E9A">
              <w:rPr>
                <w:b/>
                <w:u w:val="single"/>
              </w:rPr>
              <w:t>RULEMAKING AUTHORITY</w:t>
            </w:r>
            <w:r>
              <w:rPr>
                <w:b/>
              </w:rPr>
              <w:t xml:space="preserve"> </w:t>
            </w:r>
          </w:p>
          <w:p w14:paraId="56A7032C" w14:textId="77777777" w:rsidR="008423E4" w:rsidRDefault="008423E4" w:rsidP="00790D20"/>
          <w:p w14:paraId="1F7B2D7E" w14:textId="442C088A" w:rsidR="0039170B" w:rsidRDefault="004E4458" w:rsidP="00790D20">
            <w:pPr>
              <w:pStyle w:val="Header"/>
              <w:tabs>
                <w:tab w:val="clear" w:pos="4320"/>
                <w:tab w:val="clear" w:pos="8640"/>
              </w:tabs>
              <w:jc w:val="both"/>
            </w:pPr>
            <w:r>
              <w:t>It is the committee's opinion that rulemaking authority is expressly granted to the</w:t>
            </w:r>
            <w:r w:rsidR="008D5106">
              <w:t xml:space="preserve"> Commission on Jail Standards</w:t>
            </w:r>
            <w:r>
              <w:t xml:space="preserve"> in </w:t>
            </w:r>
            <w:r w:rsidR="008D5106">
              <w:t>SECTIONS</w:t>
            </w:r>
            <w:r>
              <w:t xml:space="preserve"> </w:t>
            </w:r>
            <w:r w:rsidR="008D5106">
              <w:t xml:space="preserve">3, 5, 9, and 10 </w:t>
            </w:r>
            <w:r>
              <w:t>of this bill.</w:t>
            </w:r>
          </w:p>
          <w:p w14:paraId="66DC5E03" w14:textId="77777777" w:rsidR="008423E4" w:rsidRPr="00E21FDC" w:rsidRDefault="008423E4" w:rsidP="00790D20">
            <w:pPr>
              <w:rPr>
                <w:b/>
              </w:rPr>
            </w:pPr>
          </w:p>
        </w:tc>
      </w:tr>
      <w:tr w:rsidR="00C81FEC" w14:paraId="011D5B44" w14:textId="77777777" w:rsidTr="002A34BE">
        <w:tc>
          <w:tcPr>
            <w:tcW w:w="9360" w:type="dxa"/>
          </w:tcPr>
          <w:p w14:paraId="02D4F6CE" w14:textId="77777777" w:rsidR="008423E4" w:rsidRPr="00A8133F" w:rsidRDefault="004E4458" w:rsidP="00790D20">
            <w:pPr>
              <w:rPr>
                <w:b/>
              </w:rPr>
            </w:pPr>
            <w:r w:rsidRPr="009C1E9A">
              <w:rPr>
                <w:b/>
                <w:u w:val="single"/>
              </w:rPr>
              <w:t>ANALYSIS</w:t>
            </w:r>
            <w:r>
              <w:rPr>
                <w:b/>
              </w:rPr>
              <w:t xml:space="preserve"> </w:t>
            </w:r>
          </w:p>
          <w:p w14:paraId="3F0CE3B9" w14:textId="77777777" w:rsidR="008423E4" w:rsidRDefault="008423E4" w:rsidP="00790D20"/>
          <w:p w14:paraId="6C891476" w14:textId="161B928D" w:rsidR="009C36CD" w:rsidRDefault="004E4458" w:rsidP="00790D20">
            <w:pPr>
              <w:pStyle w:val="Header"/>
              <w:tabs>
                <w:tab w:val="clear" w:pos="4320"/>
                <w:tab w:val="clear" w:pos="8640"/>
              </w:tabs>
              <w:jc w:val="both"/>
            </w:pPr>
            <w:r>
              <w:t>C.S.H.B.</w:t>
            </w:r>
            <w:r w:rsidR="00B26954">
              <w:t xml:space="preserve"> 1545 amends the Government Code to continue the Commission on Jail Standards (TCJS) until September 1, 2033. With respect to TCJS, the bill also does the following:</w:t>
            </w:r>
          </w:p>
          <w:p w14:paraId="3A676CEF" w14:textId="08E3A3F5" w:rsidR="002A34BE" w:rsidRDefault="004E4458" w:rsidP="00790D20">
            <w:pPr>
              <w:pStyle w:val="Header"/>
              <w:numPr>
                <w:ilvl w:val="0"/>
                <w:numId w:val="1"/>
              </w:numPr>
              <w:jc w:val="both"/>
            </w:pPr>
            <w:r w:rsidRPr="00FC3F68">
              <w:t xml:space="preserve">removes the provision subjecting state law governing TCJS and the oversight of </w:t>
            </w:r>
            <w:r>
              <w:t>local</w:t>
            </w:r>
            <w:r w:rsidRPr="00FC3F68">
              <w:t xml:space="preserve"> jail</w:t>
            </w:r>
            <w:r>
              <w:t xml:space="preserve"> </w:t>
            </w:r>
            <w:r>
              <w:t>facilitie</w:t>
            </w:r>
            <w:r w:rsidRPr="00FC3F68">
              <w:t xml:space="preserve">s to expiration along with TCJS unless continued following review by the </w:t>
            </w:r>
            <w:r>
              <w:t>S</w:t>
            </w:r>
            <w:r w:rsidRPr="00FC3F68">
              <w:t>unset</w:t>
            </w:r>
            <w:r w:rsidR="00313BB1">
              <w:t xml:space="preserve"> Advisory</w:t>
            </w:r>
            <w:r w:rsidRPr="00FC3F68">
              <w:t xml:space="preserve"> </w:t>
            </w:r>
            <w:r>
              <w:t>C</w:t>
            </w:r>
            <w:r w:rsidRPr="00FC3F68">
              <w:t>ommission</w:t>
            </w:r>
            <w:r>
              <w:t>;</w:t>
            </w:r>
          </w:p>
          <w:p w14:paraId="4431DE07" w14:textId="1B703329" w:rsidR="00BA7294" w:rsidRDefault="004E4458" w:rsidP="00790D20">
            <w:pPr>
              <w:pStyle w:val="Header"/>
              <w:numPr>
                <w:ilvl w:val="0"/>
                <w:numId w:val="1"/>
              </w:numPr>
              <w:jc w:val="both"/>
            </w:pPr>
            <w:r>
              <w:t>with respect to TCJS member training:</w:t>
            </w:r>
          </w:p>
          <w:p w14:paraId="61E2E50E" w14:textId="07C1D8E8" w:rsidR="00B26954" w:rsidRDefault="004E4458" w:rsidP="00790D20">
            <w:pPr>
              <w:pStyle w:val="Header"/>
              <w:numPr>
                <w:ilvl w:val="1"/>
                <w:numId w:val="1"/>
              </w:numPr>
              <w:jc w:val="both"/>
            </w:pPr>
            <w:r>
              <w:t>revises provisions</w:t>
            </w:r>
            <w:r w:rsidR="006E051D">
              <w:t xml:space="preserve"> relating</w:t>
            </w:r>
            <w:r>
              <w:t xml:space="preserve"> to </w:t>
            </w:r>
            <w:r w:rsidR="006E051D">
              <w:t xml:space="preserve">the required components of </w:t>
            </w:r>
            <w:r>
              <w:t>TCJS member</w:t>
            </w:r>
            <w:r w:rsidR="003B4826">
              <w:t xml:space="preserve"> training</w:t>
            </w:r>
            <w:r>
              <w:t xml:space="preserve"> and provides for the creation</w:t>
            </w:r>
            <w:r>
              <w:t xml:space="preserve"> of a related training manual that each member must acknowledge having received and reviewed;</w:t>
            </w:r>
            <w:r w:rsidR="006E051D">
              <w:t xml:space="preserve"> and</w:t>
            </w:r>
          </w:p>
          <w:p w14:paraId="587A4365" w14:textId="77777777" w:rsidR="00B26954" w:rsidRDefault="004E4458" w:rsidP="00790D20">
            <w:pPr>
              <w:pStyle w:val="Header"/>
              <w:numPr>
                <w:ilvl w:val="1"/>
                <w:numId w:val="1"/>
              </w:numPr>
              <w:tabs>
                <w:tab w:val="clear" w:pos="4320"/>
                <w:tab w:val="clear" w:pos="8640"/>
              </w:tabs>
              <w:jc w:val="both"/>
            </w:pPr>
            <w:r>
              <w:t>provides for the transition to the new training requirements for TCJS members appointed before the bill's effective date;</w:t>
            </w:r>
          </w:p>
          <w:p w14:paraId="4565A295" w14:textId="6BBC92CD" w:rsidR="009C3377" w:rsidRDefault="004E4458" w:rsidP="00790D20">
            <w:pPr>
              <w:pStyle w:val="Header"/>
              <w:numPr>
                <w:ilvl w:val="0"/>
                <w:numId w:val="1"/>
              </w:numPr>
              <w:tabs>
                <w:tab w:val="clear" w:pos="4320"/>
                <w:tab w:val="clear" w:pos="8640"/>
              </w:tabs>
              <w:jc w:val="both"/>
            </w:pPr>
            <w:r>
              <w:t>with respect to TCJS complain</w:t>
            </w:r>
            <w:r w:rsidR="003B4826">
              <w:t>t</w:t>
            </w:r>
            <w:r>
              <w:t xml:space="preserve"> proce</w:t>
            </w:r>
            <w:r>
              <w:t>dures:</w:t>
            </w:r>
          </w:p>
          <w:p w14:paraId="636A15F0" w14:textId="6EF4D43E" w:rsidR="009C3377" w:rsidRDefault="004E4458" w:rsidP="00790D20">
            <w:pPr>
              <w:pStyle w:val="Header"/>
              <w:numPr>
                <w:ilvl w:val="1"/>
                <w:numId w:val="1"/>
              </w:numPr>
              <w:tabs>
                <w:tab w:val="clear" w:pos="4320"/>
                <w:tab w:val="clear" w:pos="8640"/>
              </w:tabs>
              <w:jc w:val="both"/>
            </w:pPr>
            <w:r>
              <w:t>sets out and revises provisions relating to those procedures to apply certain good government standards</w:t>
            </w:r>
            <w:r w:rsidR="00915D87">
              <w:t xml:space="preserve"> and </w:t>
            </w:r>
            <w:r w:rsidR="00915D87" w:rsidRPr="00915D87">
              <w:t xml:space="preserve">expand the type of complaint information tracked, analyzed, and communicated to </w:t>
            </w:r>
            <w:r w:rsidR="00915D87">
              <w:t>TCJS</w:t>
            </w:r>
            <w:r w:rsidR="00915D87" w:rsidRPr="00915D87">
              <w:t xml:space="preserve"> members and the public</w:t>
            </w:r>
            <w:r>
              <w:t>;</w:t>
            </w:r>
          </w:p>
          <w:p w14:paraId="65785673" w14:textId="334B719F" w:rsidR="00B26954" w:rsidRDefault="004E4458" w:rsidP="00790D20">
            <w:pPr>
              <w:pStyle w:val="Header"/>
              <w:numPr>
                <w:ilvl w:val="1"/>
                <w:numId w:val="1"/>
              </w:numPr>
              <w:tabs>
                <w:tab w:val="clear" w:pos="4320"/>
                <w:tab w:val="clear" w:pos="8640"/>
              </w:tabs>
              <w:jc w:val="both"/>
            </w:pPr>
            <w:r>
              <w:t xml:space="preserve">requires TCJS to adopt rules </w:t>
            </w:r>
            <w:r w:rsidR="009C3377">
              <w:t xml:space="preserve">not later than March 1, 2022, </w:t>
            </w:r>
            <w:r w:rsidRPr="00B26954">
              <w:t>requiring jail administrators to include in any inmate handbook and prominently display throughout the jail information regarding the procedure for complaint investigation and resolution</w:t>
            </w:r>
            <w:r>
              <w:t>;</w:t>
            </w:r>
            <w:r w:rsidR="009C3377">
              <w:t xml:space="preserve"> and</w:t>
            </w:r>
          </w:p>
          <w:p w14:paraId="7052B9D9" w14:textId="3B8A7559" w:rsidR="009C3377" w:rsidRDefault="004E4458" w:rsidP="00790D20">
            <w:pPr>
              <w:pStyle w:val="Header"/>
              <w:numPr>
                <w:ilvl w:val="1"/>
                <w:numId w:val="1"/>
              </w:numPr>
              <w:tabs>
                <w:tab w:val="clear" w:pos="4320"/>
                <w:tab w:val="clear" w:pos="8640"/>
              </w:tabs>
              <w:jc w:val="both"/>
            </w:pPr>
            <w:r>
              <w:t xml:space="preserve">requires each jail under TCJS </w:t>
            </w:r>
            <w:r w:rsidR="009C24A3">
              <w:t xml:space="preserve">jurisdiction </w:t>
            </w:r>
            <w:r>
              <w:t>to post that information and update the handbooks as necessary to comply with those rules not later than April 1, 2022;</w:t>
            </w:r>
          </w:p>
          <w:p w14:paraId="54997509" w14:textId="39345BFE" w:rsidR="00B26954" w:rsidRDefault="004E4458" w:rsidP="00790D20">
            <w:pPr>
              <w:pStyle w:val="Header"/>
              <w:numPr>
                <w:ilvl w:val="0"/>
                <w:numId w:val="1"/>
              </w:numPr>
              <w:tabs>
                <w:tab w:val="clear" w:pos="4320"/>
                <w:tab w:val="clear" w:pos="8640"/>
              </w:tabs>
              <w:jc w:val="both"/>
            </w:pPr>
            <w:r>
              <w:t xml:space="preserve">authorizes TCJS by rule to establish advisory committees to make recommendations on programs, rules, and policies </w:t>
            </w:r>
            <w:r w:rsidR="006A6584">
              <w:t xml:space="preserve">that </w:t>
            </w:r>
            <w:r>
              <w:t>TCJS adm</w:t>
            </w:r>
            <w:r>
              <w:t>inisters;</w:t>
            </w:r>
          </w:p>
          <w:p w14:paraId="213717E1" w14:textId="77777777" w:rsidR="00AD499C" w:rsidRDefault="004E4458" w:rsidP="00790D20">
            <w:pPr>
              <w:pStyle w:val="Header"/>
              <w:numPr>
                <w:ilvl w:val="0"/>
                <w:numId w:val="1"/>
              </w:numPr>
              <w:tabs>
                <w:tab w:val="clear" w:pos="4320"/>
                <w:tab w:val="clear" w:pos="8640"/>
              </w:tabs>
              <w:jc w:val="both"/>
            </w:pPr>
            <w:r>
              <w:t xml:space="preserve">authorizes the set of risk factors used to assess the overall risk level of each jail under TCJS jurisdiction to include the number of months since the last TCJS inspection of the jail; </w:t>
            </w:r>
          </w:p>
          <w:p w14:paraId="1594BDA5" w14:textId="28B9ECC0" w:rsidR="006E051D" w:rsidRDefault="004E4458" w:rsidP="00790D20">
            <w:pPr>
              <w:pStyle w:val="Header"/>
              <w:numPr>
                <w:ilvl w:val="0"/>
                <w:numId w:val="1"/>
              </w:numPr>
              <w:tabs>
                <w:tab w:val="clear" w:pos="4320"/>
                <w:tab w:val="clear" w:pos="8640"/>
              </w:tabs>
              <w:jc w:val="both"/>
            </w:pPr>
            <w:r>
              <w:t>with respect to TCJS</w:t>
            </w:r>
            <w:r w:rsidR="003B4826">
              <w:t xml:space="preserve"> </w:t>
            </w:r>
            <w:r>
              <w:t>general duties:</w:t>
            </w:r>
          </w:p>
          <w:p w14:paraId="1E2BAC65" w14:textId="71D40C91" w:rsidR="00B26954" w:rsidRDefault="004E4458" w:rsidP="00790D20">
            <w:pPr>
              <w:pStyle w:val="Header"/>
              <w:numPr>
                <w:ilvl w:val="1"/>
                <w:numId w:val="1"/>
              </w:numPr>
              <w:tabs>
                <w:tab w:val="clear" w:pos="4320"/>
                <w:tab w:val="clear" w:pos="8640"/>
              </w:tabs>
              <w:jc w:val="both"/>
            </w:pPr>
            <w:r>
              <w:t>removes</w:t>
            </w:r>
            <w:r>
              <w:t xml:space="preserve"> the requirement for TCJS </w:t>
            </w:r>
            <w:r w:rsidR="006A6584">
              <w:t xml:space="preserve">to </w:t>
            </w:r>
            <w:r w:rsidR="003D7F2D">
              <w:t>determine</w:t>
            </w:r>
            <w:r>
              <w:t xml:space="preserve"> </w:t>
            </w:r>
            <w:r w:rsidR="006A6584">
              <w:t xml:space="preserve">annually </w:t>
            </w:r>
            <w:r>
              <w:t>each jail</w:t>
            </w:r>
            <w:r w:rsidR="006E051D">
              <w:t>'</w:t>
            </w:r>
            <w:r w:rsidR="003D7F2D">
              <w:t>s compliance with applicable rules and procedures</w:t>
            </w:r>
            <w:r>
              <w:t xml:space="preserve"> and </w:t>
            </w:r>
            <w:r w:rsidR="00046A3B">
              <w:t xml:space="preserve">provides </w:t>
            </w:r>
            <w:r>
              <w:t xml:space="preserve">instead </w:t>
            </w:r>
            <w:r w:rsidR="00046A3B">
              <w:t xml:space="preserve">for the development of a risk-based inspection prioritization policy for jails that </w:t>
            </w:r>
            <w:r w:rsidR="00D05192">
              <w:t xml:space="preserve">uses </w:t>
            </w:r>
            <w:r>
              <w:t xml:space="preserve">established </w:t>
            </w:r>
            <w:r w:rsidR="00046A3B">
              <w:t>risk factors</w:t>
            </w:r>
            <w:r w:rsidR="003D7F2D">
              <w:t xml:space="preserve"> to determine how frequently and intensively TCJS conducts inspections</w:t>
            </w:r>
            <w:r w:rsidR="00046A3B">
              <w:t>;</w:t>
            </w:r>
          </w:p>
          <w:p w14:paraId="705F125C" w14:textId="464288FD" w:rsidR="006504E0" w:rsidRDefault="004E4458" w:rsidP="00790D20">
            <w:pPr>
              <w:pStyle w:val="Header"/>
              <w:numPr>
                <w:ilvl w:val="1"/>
                <w:numId w:val="1"/>
              </w:numPr>
              <w:tabs>
                <w:tab w:val="clear" w:pos="4320"/>
                <w:tab w:val="clear" w:pos="8640"/>
              </w:tabs>
              <w:jc w:val="both"/>
            </w:pPr>
            <w:r>
              <w:t>clarifies that</w:t>
            </w:r>
            <w:r w:rsidR="006E051D">
              <w:t xml:space="preserve"> TCJS</w:t>
            </w:r>
            <w:r>
              <w:t xml:space="preserve"> compliance with its general duties, particularly the requirements regarding the adoption of rules and procedures, is not contingent on any additional legislation being enacted an</w:t>
            </w:r>
            <w:r>
              <w:t>d becoming law;</w:t>
            </w:r>
          </w:p>
          <w:p w14:paraId="0C81552B" w14:textId="2F7C3534" w:rsidR="00046A3B" w:rsidRDefault="004E4458" w:rsidP="00790D20">
            <w:pPr>
              <w:pStyle w:val="Header"/>
              <w:numPr>
                <w:ilvl w:val="1"/>
                <w:numId w:val="1"/>
              </w:numPr>
              <w:tabs>
                <w:tab w:val="clear" w:pos="4320"/>
                <w:tab w:val="clear" w:pos="8640"/>
              </w:tabs>
              <w:jc w:val="both"/>
            </w:pPr>
            <w:r>
              <w:t>requires TCJS to regularly review its rules and procedures to determine whether revisions, amendments, or changes are necessary;</w:t>
            </w:r>
            <w:r w:rsidR="006E051D">
              <w:t xml:space="preserve"> and</w:t>
            </w:r>
          </w:p>
          <w:p w14:paraId="3D63A74E" w14:textId="0E0F2164" w:rsidR="003D7F2D" w:rsidRDefault="004E4458" w:rsidP="00790D20">
            <w:pPr>
              <w:pStyle w:val="Header"/>
              <w:numPr>
                <w:ilvl w:val="1"/>
                <w:numId w:val="1"/>
              </w:numPr>
              <w:tabs>
                <w:tab w:val="clear" w:pos="4320"/>
                <w:tab w:val="clear" w:pos="8640"/>
              </w:tabs>
              <w:jc w:val="both"/>
            </w:pPr>
            <w:r>
              <w:t>removes certain annual reporting requirements regarding juveniles detained in municipal lockup</w:t>
            </w:r>
            <w:r w:rsidR="006A6584">
              <w:t>s</w:t>
            </w:r>
            <w:r>
              <w:t xml:space="preserve"> or county j</w:t>
            </w:r>
            <w:r>
              <w:t>ail</w:t>
            </w:r>
            <w:r w:rsidR="006A6584">
              <w:t>s</w:t>
            </w:r>
            <w:r>
              <w:t>;</w:t>
            </w:r>
          </w:p>
          <w:p w14:paraId="1979B9A4" w14:textId="0EEECE63" w:rsidR="006E051D" w:rsidRDefault="004E4458" w:rsidP="00790D20">
            <w:pPr>
              <w:pStyle w:val="Header"/>
              <w:numPr>
                <w:ilvl w:val="0"/>
                <w:numId w:val="1"/>
              </w:numPr>
              <w:tabs>
                <w:tab w:val="clear" w:pos="4320"/>
                <w:tab w:val="clear" w:pos="8640"/>
              </w:tabs>
              <w:jc w:val="both"/>
            </w:pPr>
            <w:r>
              <w:t>with respect to the minimum standards established for jails under TCJS jurisdiction</w:t>
            </w:r>
            <w:r w:rsidR="000409F4">
              <w:t xml:space="preserve"> and compliance with those standards</w:t>
            </w:r>
            <w:r>
              <w:t>:</w:t>
            </w:r>
          </w:p>
          <w:p w14:paraId="140711D9" w14:textId="77777777" w:rsidR="00915D87" w:rsidRDefault="004E4458" w:rsidP="00790D20">
            <w:pPr>
              <w:pStyle w:val="Header"/>
              <w:numPr>
                <w:ilvl w:val="1"/>
                <w:numId w:val="1"/>
              </w:numPr>
              <w:tabs>
                <w:tab w:val="clear" w:pos="4320"/>
                <w:tab w:val="clear" w:pos="8640"/>
              </w:tabs>
              <w:jc w:val="both"/>
            </w:pPr>
            <w:r>
              <w:t>requires TCJS to ensure that the minimum standards take into consideration the needs and risks of the different types and sizes o</w:t>
            </w:r>
            <w:r>
              <w:t>f jails under TCJS jurisdiction</w:t>
            </w:r>
            <w:r w:rsidR="000913F1">
              <w:t xml:space="preserve"> and provides for the ongoing review and, as necessa</w:t>
            </w:r>
            <w:r w:rsidR="006E051D">
              <w:t>ry, revision of those standards;</w:t>
            </w:r>
          </w:p>
          <w:p w14:paraId="67648C10" w14:textId="0143B023" w:rsidR="006E051D" w:rsidRDefault="004E4458" w:rsidP="00790D20">
            <w:pPr>
              <w:pStyle w:val="Header"/>
              <w:numPr>
                <w:ilvl w:val="1"/>
                <w:numId w:val="1"/>
              </w:numPr>
              <w:jc w:val="both"/>
            </w:pPr>
            <w:r>
              <w:t xml:space="preserve"> </w:t>
            </w:r>
            <w:r w:rsidR="00915D87">
              <w:t>requires TCJS to consider certain strategies when revising standards to take into account jails' different needs and risks, including establishing tiered or separate standards based on the s</w:t>
            </w:r>
            <w:r w:rsidR="00AA0D7F">
              <w:t>ize, resources, or type of jail;</w:t>
            </w:r>
          </w:p>
          <w:p w14:paraId="255830BE" w14:textId="7C442E89" w:rsidR="006504E0" w:rsidRDefault="004E4458" w:rsidP="00790D20">
            <w:pPr>
              <w:pStyle w:val="Header"/>
              <w:numPr>
                <w:ilvl w:val="1"/>
                <w:numId w:val="1"/>
              </w:numPr>
              <w:tabs>
                <w:tab w:val="clear" w:pos="4320"/>
                <w:tab w:val="clear" w:pos="8640"/>
              </w:tabs>
              <w:jc w:val="both"/>
            </w:pPr>
            <w:r>
              <w:t xml:space="preserve">prohibits </w:t>
            </w:r>
            <w:r w:rsidR="000913F1">
              <w:t xml:space="preserve">any standards in effect on September 1, 2021, </w:t>
            </w:r>
            <w:r>
              <w:t xml:space="preserve">from being </w:t>
            </w:r>
            <w:r w:rsidR="000913F1">
              <w:t>lowered</w:t>
            </w:r>
            <w:r>
              <w:t xml:space="preserve"> as the result of such a review</w:t>
            </w:r>
            <w:r w:rsidR="000913F1">
              <w:t>;</w:t>
            </w:r>
          </w:p>
          <w:p w14:paraId="32C1C513" w14:textId="6F46CF7E" w:rsidR="000913F1" w:rsidRDefault="004E4458" w:rsidP="00790D20">
            <w:pPr>
              <w:pStyle w:val="Header"/>
              <w:numPr>
                <w:ilvl w:val="1"/>
                <w:numId w:val="1"/>
              </w:numPr>
              <w:tabs>
                <w:tab w:val="clear" w:pos="4320"/>
                <w:tab w:val="clear" w:pos="8640"/>
              </w:tabs>
              <w:jc w:val="both"/>
            </w:pPr>
            <w:r>
              <w:t>requires TCJS to adopt rules and procedures for reinspecting a ja</w:t>
            </w:r>
            <w:r>
              <w:t>il following a determination that the jail is not in compliance with applicable minimum standards</w:t>
            </w:r>
            <w:r w:rsidR="000409F4">
              <w:t xml:space="preserve">, including rules and procedures requiring TCJS to </w:t>
            </w:r>
            <w:r w:rsidR="000409F4" w:rsidRPr="000409F4">
              <w:t xml:space="preserve">establish a percentage of reinspections for which </w:t>
            </w:r>
            <w:r w:rsidR="000409F4">
              <w:t>it</w:t>
            </w:r>
            <w:r w:rsidR="000409F4" w:rsidRPr="000409F4">
              <w:t xml:space="preserve"> </w:t>
            </w:r>
            <w:r w:rsidR="00DA46BF">
              <w:t xml:space="preserve">must </w:t>
            </w:r>
            <w:r w:rsidR="000409F4" w:rsidRPr="000409F4">
              <w:t>assess</w:t>
            </w:r>
            <w:r w:rsidR="0049547E">
              <w:t xml:space="preserve"> </w:t>
            </w:r>
            <w:r w:rsidR="000409F4" w:rsidRPr="000409F4">
              <w:t>compliance with all minimum standards, regardless of whether the jail was in compliance with a particular standard during the previous inspection</w:t>
            </w:r>
            <w:r>
              <w:t>;</w:t>
            </w:r>
          </w:p>
          <w:p w14:paraId="6F306868" w14:textId="55E9900B" w:rsidR="000913F1" w:rsidRDefault="004E4458" w:rsidP="00790D20">
            <w:pPr>
              <w:pStyle w:val="Header"/>
              <w:numPr>
                <w:ilvl w:val="1"/>
                <w:numId w:val="1"/>
              </w:numPr>
              <w:tabs>
                <w:tab w:val="clear" w:pos="4320"/>
                <w:tab w:val="clear" w:pos="8640"/>
              </w:tabs>
              <w:jc w:val="both"/>
            </w:pPr>
            <w:r>
              <w:t xml:space="preserve">requires TCJS to regularly </w:t>
            </w:r>
            <w:r w:rsidRPr="000913F1">
              <w:t>analyze data collected during inspections or repor</w:t>
            </w:r>
            <w:r>
              <w:t xml:space="preserve">ted to TCJS </w:t>
            </w:r>
            <w:r w:rsidRPr="000913F1">
              <w:t>to identify trends in noncompliance, inspection outcomes, s</w:t>
            </w:r>
            <w:r w:rsidRPr="000913F1">
              <w:t>erious incidents, and any other related area of jail operations</w:t>
            </w:r>
            <w:r>
              <w:t>;</w:t>
            </w:r>
            <w:r w:rsidR="006E051D">
              <w:t xml:space="preserve"> and</w:t>
            </w:r>
          </w:p>
          <w:p w14:paraId="4D23C245" w14:textId="16AD6F4D" w:rsidR="002A381B" w:rsidRDefault="004E4458" w:rsidP="00790D20">
            <w:pPr>
              <w:pStyle w:val="Header"/>
              <w:numPr>
                <w:ilvl w:val="1"/>
                <w:numId w:val="1"/>
              </w:numPr>
              <w:jc w:val="both"/>
            </w:pPr>
            <w:r>
              <w:t>provides for the development, by rule, of</w:t>
            </w:r>
            <w:r w:rsidR="000913F1">
              <w:t xml:space="preserve"> a system of graduated, escalating enforcement actions </w:t>
            </w:r>
            <w:r>
              <w:t>TCJS</w:t>
            </w:r>
            <w:r w:rsidR="000913F1">
              <w:t xml:space="preserve"> is authorized to take against jails under </w:t>
            </w:r>
            <w:r>
              <w:t>its</w:t>
            </w:r>
            <w:r w:rsidR="000913F1">
              <w:t xml:space="preserve"> jurisdiction that have not made timely progress correcting noncompliance issues or</w:t>
            </w:r>
            <w:r>
              <w:t xml:space="preserve"> </w:t>
            </w:r>
            <w:r w:rsidR="000913F1">
              <w:t xml:space="preserve">have failed multiple inspections within a certain number of years as determined by </w:t>
            </w:r>
            <w:r>
              <w:t>TCJS;</w:t>
            </w:r>
            <w:r w:rsidR="00556EFA">
              <w:t xml:space="preserve"> and</w:t>
            </w:r>
          </w:p>
          <w:p w14:paraId="70383C25" w14:textId="77777777" w:rsidR="00AA0D7F" w:rsidRDefault="004E4458" w:rsidP="00790D20">
            <w:pPr>
              <w:pStyle w:val="Header"/>
              <w:numPr>
                <w:ilvl w:val="0"/>
                <w:numId w:val="1"/>
              </w:numPr>
              <w:jc w:val="both"/>
            </w:pPr>
            <w:r>
              <w:t>with respect to an independent investigation of a death occurring in a county jail:</w:t>
            </w:r>
          </w:p>
          <w:p w14:paraId="383C1099" w14:textId="3D80E16B" w:rsidR="00AA0D7F" w:rsidRDefault="004E4458" w:rsidP="00790D20">
            <w:pPr>
              <w:pStyle w:val="Header"/>
              <w:numPr>
                <w:ilvl w:val="1"/>
                <w:numId w:val="1"/>
              </w:numPr>
              <w:jc w:val="both"/>
            </w:pPr>
            <w:r>
              <w:t>requires the</w:t>
            </w:r>
            <w:r w:rsidRPr="002A381B">
              <w:t xml:space="preserve"> </w:t>
            </w:r>
            <w:r w:rsidR="002A381B" w:rsidRPr="002A381B">
              <w:t xml:space="preserve">law enforcement agency appointed by </w:t>
            </w:r>
            <w:r w:rsidR="002A381B">
              <w:t>TCJS to investigate</w:t>
            </w:r>
            <w:r w:rsidR="00556EFA">
              <w:t xml:space="preserve"> the death of a prisoner in a county jail</w:t>
            </w:r>
            <w:r>
              <w:t xml:space="preserve"> to do so;</w:t>
            </w:r>
            <w:r w:rsidR="00556EFA">
              <w:t xml:space="preserve"> </w:t>
            </w:r>
            <w:r w:rsidR="00484AAC">
              <w:t>and</w:t>
            </w:r>
          </w:p>
          <w:p w14:paraId="6BCB5FE3" w14:textId="4304965E" w:rsidR="002A381B" w:rsidRDefault="004E4458" w:rsidP="00790D20">
            <w:pPr>
              <w:pStyle w:val="Header"/>
              <w:numPr>
                <w:ilvl w:val="1"/>
                <w:numId w:val="1"/>
              </w:numPr>
              <w:jc w:val="both"/>
            </w:pPr>
            <w:r>
              <w:t xml:space="preserve">authorizes the appointed agency </w:t>
            </w:r>
            <w:r w:rsidR="00556EFA">
              <w:t>to</w:t>
            </w:r>
            <w:r w:rsidRPr="002A381B">
              <w:t xml:space="preserve"> present evidence to </w:t>
            </w:r>
            <w:r w:rsidR="00556EFA">
              <w:t>TCJS</w:t>
            </w:r>
            <w:r w:rsidRPr="002A381B">
              <w:t xml:space="preserve"> that investigating the death would create a conflict of interest that </w:t>
            </w:r>
            <w:r>
              <w:t xml:space="preserve">the agency </w:t>
            </w:r>
            <w:r w:rsidRPr="002A381B">
              <w:t xml:space="preserve">cannot mitigate </w:t>
            </w:r>
            <w:r w:rsidR="00556EFA">
              <w:t xml:space="preserve">and </w:t>
            </w:r>
            <w:r w:rsidR="006C1D7D">
              <w:t xml:space="preserve">requires </w:t>
            </w:r>
            <w:r w:rsidR="00556EFA">
              <w:t>TCJS to</w:t>
            </w:r>
            <w:r w:rsidRPr="002A381B">
              <w:t xml:space="preserve"> appoint another law enforcement agency to investigate the death</w:t>
            </w:r>
            <w:r w:rsidR="00556EFA">
              <w:t xml:space="preserve"> if TCJS determines that </w:t>
            </w:r>
            <w:r w:rsidR="00935121">
              <w:t xml:space="preserve">the </w:t>
            </w:r>
            <w:r w:rsidR="00556EFA">
              <w:t xml:space="preserve">conflict </w:t>
            </w:r>
            <w:r w:rsidR="00935121">
              <w:t xml:space="preserve">of interest </w:t>
            </w:r>
            <w:r w:rsidR="00556EFA">
              <w:t>truly cannot be mitigated</w:t>
            </w:r>
            <w:r w:rsidRPr="002A381B">
              <w:t>.</w:t>
            </w:r>
          </w:p>
          <w:p w14:paraId="53632828" w14:textId="060AA569" w:rsidR="00556EFA" w:rsidRDefault="00556EFA" w:rsidP="00790D20">
            <w:pPr>
              <w:pStyle w:val="Header"/>
              <w:jc w:val="both"/>
            </w:pPr>
          </w:p>
          <w:p w14:paraId="61786E68" w14:textId="22097B2D" w:rsidR="00556EFA" w:rsidRPr="009C36CD" w:rsidRDefault="004E4458" w:rsidP="00790D20">
            <w:pPr>
              <w:pStyle w:val="Header"/>
              <w:jc w:val="both"/>
            </w:pPr>
            <w:r>
              <w:t>C.S.H.B. 1545 repeals Sections 511.0071(e) and (f), Government Code.</w:t>
            </w:r>
          </w:p>
          <w:p w14:paraId="58AD081E" w14:textId="77777777" w:rsidR="008423E4" w:rsidRPr="00835628" w:rsidRDefault="008423E4" w:rsidP="00790D20">
            <w:pPr>
              <w:rPr>
                <w:b/>
              </w:rPr>
            </w:pPr>
          </w:p>
        </w:tc>
      </w:tr>
      <w:tr w:rsidR="00C81FEC" w14:paraId="63EF7E47" w14:textId="77777777" w:rsidTr="002A34BE">
        <w:tc>
          <w:tcPr>
            <w:tcW w:w="9360" w:type="dxa"/>
          </w:tcPr>
          <w:p w14:paraId="5E42F68D" w14:textId="77777777" w:rsidR="008423E4" w:rsidRPr="00A8133F" w:rsidRDefault="004E4458" w:rsidP="00790D20">
            <w:pPr>
              <w:rPr>
                <w:b/>
              </w:rPr>
            </w:pPr>
            <w:r w:rsidRPr="009C1E9A">
              <w:rPr>
                <w:b/>
                <w:u w:val="single"/>
              </w:rPr>
              <w:t>EFFECTIVE DATE</w:t>
            </w:r>
            <w:r>
              <w:rPr>
                <w:b/>
              </w:rPr>
              <w:t xml:space="preserve"> </w:t>
            </w:r>
          </w:p>
          <w:p w14:paraId="49F95790" w14:textId="77777777" w:rsidR="008423E4" w:rsidRDefault="008423E4" w:rsidP="00790D20"/>
          <w:p w14:paraId="7DA11A88" w14:textId="30323864" w:rsidR="008423E4" w:rsidRPr="003624F2" w:rsidRDefault="004E4458" w:rsidP="00790D20">
            <w:pPr>
              <w:pStyle w:val="Header"/>
              <w:tabs>
                <w:tab w:val="clear" w:pos="4320"/>
                <w:tab w:val="clear" w:pos="8640"/>
              </w:tabs>
              <w:jc w:val="both"/>
            </w:pPr>
            <w:r>
              <w:t xml:space="preserve">September 1, </w:t>
            </w:r>
            <w:r>
              <w:t>2021.</w:t>
            </w:r>
          </w:p>
          <w:p w14:paraId="2883D0D7" w14:textId="77777777" w:rsidR="008423E4" w:rsidRPr="00233FDB" w:rsidRDefault="008423E4" w:rsidP="00790D20">
            <w:pPr>
              <w:rPr>
                <w:b/>
              </w:rPr>
            </w:pPr>
          </w:p>
        </w:tc>
      </w:tr>
      <w:tr w:rsidR="00C81FEC" w14:paraId="03D44785" w14:textId="77777777" w:rsidTr="002A34BE">
        <w:tc>
          <w:tcPr>
            <w:tcW w:w="9360" w:type="dxa"/>
          </w:tcPr>
          <w:p w14:paraId="2BA6CF86" w14:textId="77777777" w:rsidR="00831A40" w:rsidRDefault="004E4458" w:rsidP="00790D20">
            <w:pPr>
              <w:jc w:val="both"/>
              <w:rPr>
                <w:b/>
                <w:u w:val="single"/>
              </w:rPr>
            </w:pPr>
            <w:r>
              <w:rPr>
                <w:b/>
                <w:u w:val="single"/>
              </w:rPr>
              <w:t>COMPARISON OF ORIGINAL AND SUBSTITUTE</w:t>
            </w:r>
          </w:p>
          <w:p w14:paraId="26A77845" w14:textId="77777777" w:rsidR="002A34BE" w:rsidRDefault="002A34BE" w:rsidP="00790D20">
            <w:pPr>
              <w:jc w:val="both"/>
            </w:pPr>
          </w:p>
          <w:p w14:paraId="66DD1474" w14:textId="5CFD7E5D" w:rsidR="002A34BE" w:rsidRDefault="004E4458" w:rsidP="00790D20">
            <w:pPr>
              <w:jc w:val="both"/>
            </w:pPr>
            <w:r>
              <w:t>While C.S.H.B. 1545 may differ from the original in minor or nonsubstantive ways, the following summarizes the substantial differences between the introduced and committee substitute versions of the bill.</w:t>
            </w:r>
          </w:p>
          <w:p w14:paraId="03E58EF4" w14:textId="23A24586" w:rsidR="002A34BE" w:rsidRDefault="002A34BE" w:rsidP="00790D20">
            <w:pPr>
              <w:jc w:val="both"/>
            </w:pPr>
          </w:p>
          <w:p w14:paraId="2351F269" w14:textId="76B03692" w:rsidR="002A34BE" w:rsidRDefault="004E4458" w:rsidP="00790D20">
            <w:pPr>
              <w:jc w:val="both"/>
            </w:pPr>
            <w:r>
              <w:t>The</w:t>
            </w:r>
            <w:r>
              <w:t xml:space="preserve"> substitute </w:t>
            </w:r>
            <w:r w:rsidR="00FC3F68">
              <w:t xml:space="preserve">removes the provision subjecting state law governing TCJS and the oversight of </w:t>
            </w:r>
            <w:r w:rsidR="00935121">
              <w:t xml:space="preserve">local jail facilities </w:t>
            </w:r>
            <w:r w:rsidR="00FC3F68">
              <w:t xml:space="preserve">to expiration along with TCJS unless continued following review by the </w:t>
            </w:r>
            <w:r w:rsidR="00313BB1">
              <w:t>S</w:t>
            </w:r>
            <w:r w:rsidR="00FC3F68">
              <w:t>unset</w:t>
            </w:r>
            <w:r w:rsidR="00313BB1">
              <w:t xml:space="preserve"> Advisory</w:t>
            </w:r>
            <w:r w:rsidR="00FC3F68">
              <w:t xml:space="preserve"> </w:t>
            </w:r>
            <w:r w:rsidR="00313BB1">
              <w:t>C</w:t>
            </w:r>
            <w:r w:rsidR="00FC3F68">
              <w:t>ommission.</w:t>
            </w:r>
          </w:p>
          <w:p w14:paraId="0330D7D2" w14:textId="7C6F8C86" w:rsidR="002A34BE" w:rsidRPr="002A34BE" w:rsidRDefault="002A34BE" w:rsidP="00790D20">
            <w:pPr>
              <w:jc w:val="both"/>
            </w:pPr>
          </w:p>
        </w:tc>
      </w:tr>
      <w:tr w:rsidR="00C81FEC" w14:paraId="55C1669D" w14:textId="77777777" w:rsidTr="002A34BE">
        <w:tc>
          <w:tcPr>
            <w:tcW w:w="9360" w:type="dxa"/>
          </w:tcPr>
          <w:p w14:paraId="7AB03A81" w14:textId="77777777" w:rsidR="00964CA1" w:rsidRPr="009C1E9A" w:rsidRDefault="00964CA1" w:rsidP="00790D20">
            <w:pPr>
              <w:rPr>
                <w:b/>
                <w:u w:val="single"/>
              </w:rPr>
            </w:pPr>
          </w:p>
        </w:tc>
      </w:tr>
      <w:tr w:rsidR="00C81FEC" w14:paraId="0BD2936B" w14:textId="77777777" w:rsidTr="002A34BE">
        <w:tc>
          <w:tcPr>
            <w:tcW w:w="9360" w:type="dxa"/>
          </w:tcPr>
          <w:p w14:paraId="2D32AAE3" w14:textId="77777777" w:rsidR="00964CA1" w:rsidRPr="00831A40" w:rsidRDefault="00964CA1" w:rsidP="00790D20">
            <w:pPr>
              <w:jc w:val="both"/>
            </w:pPr>
          </w:p>
        </w:tc>
      </w:tr>
    </w:tbl>
    <w:p w14:paraId="75CC5024" w14:textId="77777777" w:rsidR="008423E4" w:rsidRPr="00BE0E75" w:rsidRDefault="008423E4" w:rsidP="00790D20">
      <w:pPr>
        <w:jc w:val="both"/>
        <w:rPr>
          <w:rFonts w:ascii="Arial" w:hAnsi="Arial"/>
          <w:sz w:val="16"/>
          <w:szCs w:val="16"/>
        </w:rPr>
      </w:pPr>
    </w:p>
    <w:p w14:paraId="3A2B79ED" w14:textId="77777777" w:rsidR="004108C3" w:rsidRPr="008423E4" w:rsidRDefault="004108C3" w:rsidP="00790D2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9253E" w14:textId="77777777" w:rsidR="00000000" w:rsidRDefault="004E4458">
      <w:r>
        <w:separator/>
      </w:r>
    </w:p>
  </w:endnote>
  <w:endnote w:type="continuationSeparator" w:id="0">
    <w:p w14:paraId="2512E0FB" w14:textId="77777777" w:rsidR="00000000" w:rsidRDefault="004E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B54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81FEC" w14:paraId="73953C19" w14:textId="77777777" w:rsidTr="009C1E9A">
      <w:trPr>
        <w:cantSplit/>
      </w:trPr>
      <w:tc>
        <w:tcPr>
          <w:tcW w:w="0" w:type="pct"/>
        </w:tcPr>
        <w:p w14:paraId="28B8BDFA" w14:textId="77777777" w:rsidR="00137D90" w:rsidRDefault="00137D90" w:rsidP="009C1E9A">
          <w:pPr>
            <w:pStyle w:val="Footer"/>
            <w:tabs>
              <w:tab w:val="clear" w:pos="8640"/>
              <w:tab w:val="right" w:pos="9360"/>
            </w:tabs>
          </w:pPr>
        </w:p>
      </w:tc>
      <w:tc>
        <w:tcPr>
          <w:tcW w:w="2395" w:type="pct"/>
        </w:tcPr>
        <w:p w14:paraId="525CE641" w14:textId="77777777" w:rsidR="00137D90" w:rsidRDefault="00137D90" w:rsidP="009C1E9A">
          <w:pPr>
            <w:pStyle w:val="Footer"/>
            <w:tabs>
              <w:tab w:val="clear" w:pos="8640"/>
              <w:tab w:val="right" w:pos="9360"/>
            </w:tabs>
          </w:pPr>
        </w:p>
        <w:p w14:paraId="50FA1B90" w14:textId="77777777" w:rsidR="001A4310" w:rsidRDefault="001A4310" w:rsidP="009C1E9A">
          <w:pPr>
            <w:pStyle w:val="Footer"/>
            <w:tabs>
              <w:tab w:val="clear" w:pos="8640"/>
              <w:tab w:val="right" w:pos="9360"/>
            </w:tabs>
          </w:pPr>
        </w:p>
        <w:p w14:paraId="260035E3" w14:textId="77777777" w:rsidR="00137D90" w:rsidRDefault="00137D90" w:rsidP="009C1E9A">
          <w:pPr>
            <w:pStyle w:val="Footer"/>
            <w:tabs>
              <w:tab w:val="clear" w:pos="8640"/>
              <w:tab w:val="right" w:pos="9360"/>
            </w:tabs>
          </w:pPr>
        </w:p>
      </w:tc>
      <w:tc>
        <w:tcPr>
          <w:tcW w:w="2453" w:type="pct"/>
        </w:tcPr>
        <w:p w14:paraId="711FFF62" w14:textId="77777777" w:rsidR="00137D90" w:rsidRDefault="00137D90" w:rsidP="009C1E9A">
          <w:pPr>
            <w:pStyle w:val="Footer"/>
            <w:tabs>
              <w:tab w:val="clear" w:pos="8640"/>
              <w:tab w:val="right" w:pos="9360"/>
            </w:tabs>
            <w:jc w:val="right"/>
          </w:pPr>
        </w:p>
      </w:tc>
    </w:tr>
    <w:tr w:rsidR="00C81FEC" w14:paraId="38354BF7" w14:textId="77777777" w:rsidTr="009C1E9A">
      <w:trPr>
        <w:cantSplit/>
      </w:trPr>
      <w:tc>
        <w:tcPr>
          <w:tcW w:w="0" w:type="pct"/>
        </w:tcPr>
        <w:p w14:paraId="3F2F81B2" w14:textId="77777777" w:rsidR="00EC379B" w:rsidRDefault="00EC379B" w:rsidP="009C1E9A">
          <w:pPr>
            <w:pStyle w:val="Footer"/>
            <w:tabs>
              <w:tab w:val="clear" w:pos="8640"/>
              <w:tab w:val="right" w:pos="9360"/>
            </w:tabs>
          </w:pPr>
        </w:p>
      </w:tc>
      <w:tc>
        <w:tcPr>
          <w:tcW w:w="2395" w:type="pct"/>
        </w:tcPr>
        <w:p w14:paraId="1C8F51D3" w14:textId="37AF7736" w:rsidR="00EC379B" w:rsidRPr="009C1E9A" w:rsidRDefault="004E4458" w:rsidP="009C1E9A">
          <w:pPr>
            <w:pStyle w:val="Footer"/>
            <w:tabs>
              <w:tab w:val="clear" w:pos="8640"/>
              <w:tab w:val="right" w:pos="9360"/>
            </w:tabs>
            <w:rPr>
              <w:rFonts w:ascii="Shruti" w:hAnsi="Shruti"/>
              <w:sz w:val="22"/>
            </w:rPr>
          </w:pPr>
          <w:r>
            <w:rPr>
              <w:rFonts w:ascii="Shruti" w:hAnsi="Shruti"/>
              <w:sz w:val="22"/>
            </w:rPr>
            <w:t>87R 17378</w:t>
          </w:r>
        </w:p>
      </w:tc>
      <w:tc>
        <w:tcPr>
          <w:tcW w:w="2453" w:type="pct"/>
        </w:tcPr>
        <w:p w14:paraId="4142BC0E" w14:textId="29714DA8" w:rsidR="00EC379B" w:rsidRDefault="004E4458" w:rsidP="009C1E9A">
          <w:pPr>
            <w:pStyle w:val="Footer"/>
            <w:tabs>
              <w:tab w:val="clear" w:pos="8640"/>
              <w:tab w:val="right" w:pos="9360"/>
            </w:tabs>
            <w:jc w:val="right"/>
          </w:pPr>
          <w:r>
            <w:fldChar w:fldCharType="begin"/>
          </w:r>
          <w:r>
            <w:instrText xml:space="preserve"> DOCPROPERTY  OTID  \* MERGEFORMAT </w:instrText>
          </w:r>
          <w:r>
            <w:fldChar w:fldCharType="separate"/>
          </w:r>
          <w:r w:rsidR="00860D5B">
            <w:t>21.87.273</w:t>
          </w:r>
          <w:r>
            <w:fldChar w:fldCharType="end"/>
          </w:r>
        </w:p>
      </w:tc>
    </w:tr>
    <w:tr w:rsidR="00C81FEC" w14:paraId="16BB2607" w14:textId="77777777" w:rsidTr="009C1E9A">
      <w:trPr>
        <w:cantSplit/>
      </w:trPr>
      <w:tc>
        <w:tcPr>
          <w:tcW w:w="0" w:type="pct"/>
        </w:tcPr>
        <w:p w14:paraId="6FB00544" w14:textId="77777777" w:rsidR="00EC379B" w:rsidRDefault="00EC379B" w:rsidP="009C1E9A">
          <w:pPr>
            <w:pStyle w:val="Footer"/>
            <w:tabs>
              <w:tab w:val="clear" w:pos="4320"/>
              <w:tab w:val="clear" w:pos="8640"/>
              <w:tab w:val="left" w:pos="2865"/>
            </w:tabs>
          </w:pPr>
        </w:p>
      </w:tc>
      <w:tc>
        <w:tcPr>
          <w:tcW w:w="2395" w:type="pct"/>
        </w:tcPr>
        <w:p w14:paraId="4EC6E6EE" w14:textId="2977CCFA" w:rsidR="00EC379B" w:rsidRPr="009C1E9A" w:rsidRDefault="004E4458" w:rsidP="009C1E9A">
          <w:pPr>
            <w:pStyle w:val="Footer"/>
            <w:tabs>
              <w:tab w:val="clear" w:pos="4320"/>
              <w:tab w:val="clear" w:pos="8640"/>
              <w:tab w:val="left" w:pos="2865"/>
            </w:tabs>
            <w:rPr>
              <w:rFonts w:ascii="Shruti" w:hAnsi="Shruti"/>
              <w:sz w:val="22"/>
            </w:rPr>
          </w:pPr>
          <w:r>
            <w:rPr>
              <w:rFonts w:ascii="Shruti" w:hAnsi="Shruti"/>
              <w:sz w:val="22"/>
            </w:rPr>
            <w:t>Substitute Document Number: 87R 16208</w:t>
          </w:r>
        </w:p>
      </w:tc>
      <w:tc>
        <w:tcPr>
          <w:tcW w:w="2453" w:type="pct"/>
        </w:tcPr>
        <w:p w14:paraId="3F962196" w14:textId="77777777" w:rsidR="00EC379B" w:rsidRDefault="00EC379B" w:rsidP="006D504F">
          <w:pPr>
            <w:pStyle w:val="Footer"/>
            <w:rPr>
              <w:rStyle w:val="PageNumber"/>
            </w:rPr>
          </w:pPr>
        </w:p>
        <w:p w14:paraId="7D934B42" w14:textId="77777777" w:rsidR="00EC379B" w:rsidRDefault="00EC379B" w:rsidP="009C1E9A">
          <w:pPr>
            <w:pStyle w:val="Footer"/>
            <w:tabs>
              <w:tab w:val="clear" w:pos="8640"/>
              <w:tab w:val="right" w:pos="9360"/>
            </w:tabs>
            <w:jc w:val="right"/>
          </w:pPr>
        </w:p>
      </w:tc>
    </w:tr>
    <w:tr w:rsidR="00C81FEC" w14:paraId="0DD52D19" w14:textId="77777777" w:rsidTr="009C1E9A">
      <w:trPr>
        <w:cantSplit/>
        <w:trHeight w:val="323"/>
      </w:trPr>
      <w:tc>
        <w:tcPr>
          <w:tcW w:w="0" w:type="pct"/>
          <w:gridSpan w:val="3"/>
        </w:tcPr>
        <w:p w14:paraId="24AEA88C" w14:textId="03FD54E9" w:rsidR="00EC379B" w:rsidRDefault="004E44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90D20">
            <w:rPr>
              <w:rStyle w:val="PageNumber"/>
              <w:noProof/>
            </w:rPr>
            <w:t>3</w:t>
          </w:r>
          <w:r>
            <w:rPr>
              <w:rStyle w:val="PageNumber"/>
            </w:rPr>
            <w:fldChar w:fldCharType="end"/>
          </w:r>
        </w:p>
        <w:p w14:paraId="5B84B9B5" w14:textId="77777777" w:rsidR="00EC379B" w:rsidRDefault="00EC379B" w:rsidP="009C1E9A">
          <w:pPr>
            <w:pStyle w:val="Footer"/>
            <w:tabs>
              <w:tab w:val="clear" w:pos="8640"/>
              <w:tab w:val="right" w:pos="9360"/>
            </w:tabs>
            <w:jc w:val="center"/>
          </w:pPr>
        </w:p>
      </w:tc>
    </w:tr>
  </w:tbl>
  <w:p w14:paraId="462FD17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7DA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4F07C" w14:textId="77777777" w:rsidR="00000000" w:rsidRDefault="004E4458">
      <w:r>
        <w:separator/>
      </w:r>
    </w:p>
  </w:footnote>
  <w:footnote w:type="continuationSeparator" w:id="0">
    <w:p w14:paraId="114447E5" w14:textId="77777777" w:rsidR="00000000" w:rsidRDefault="004E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737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48D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A08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762C"/>
    <w:multiLevelType w:val="hybridMultilevel"/>
    <w:tmpl w:val="AD285634"/>
    <w:lvl w:ilvl="0" w:tplc="5D9A4640">
      <w:start w:val="1"/>
      <w:numFmt w:val="bullet"/>
      <w:lvlText w:val=""/>
      <w:lvlJc w:val="left"/>
      <w:pPr>
        <w:tabs>
          <w:tab w:val="num" w:pos="720"/>
        </w:tabs>
        <w:ind w:left="720" w:hanging="360"/>
      </w:pPr>
      <w:rPr>
        <w:rFonts w:ascii="Symbol" w:hAnsi="Symbol" w:hint="default"/>
      </w:rPr>
    </w:lvl>
    <w:lvl w:ilvl="1" w:tplc="97D8BB0A">
      <w:start w:val="1"/>
      <w:numFmt w:val="bullet"/>
      <w:lvlText w:val="o"/>
      <w:lvlJc w:val="left"/>
      <w:pPr>
        <w:ind w:left="1440" w:hanging="360"/>
      </w:pPr>
      <w:rPr>
        <w:rFonts w:ascii="Courier New" w:hAnsi="Courier New" w:cs="Courier New" w:hint="default"/>
      </w:rPr>
    </w:lvl>
    <w:lvl w:ilvl="2" w:tplc="1FFA445C">
      <w:start w:val="1"/>
      <w:numFmt w:val="bullet"/>
      <w:lvlText w:val=""/>
      <w:lvlJc w:val="left"/>
      <w:pPr>
        <w:ind w:left="2160" w:hanging="360"/>
      </w:pPr>
      <w:rPr>
        <w:rFonts w:ascii="Wingdings" w:hAnsi="Wingdings" w:hint="default"/>
      </w:rPr>
    </w:lvl>
    <w:lvl w:ilvl="3" w:tplc="E468F2CA" w:tentative="1">
      <w:start w:val="1"/>
      <w:numFmt w:val="bullet"/>
      <w:lvlText w:val=""/>
      <w:lvlJc w:val="left"/>
      <w:pPr>
        <w:ind w:left="2880" w:hanging="360"/>
      </w:pPr>
      <w:rPr>
        <w:rFonts w:ascii="Symbol" w:hAnsi="Symbol" w:hint="default"/>
      </w:rPr>
    </w:lvl>
    <w:lvl w:ilvl="4" w:tplc="D456A232" w:tentative="1">
      <w:start w:val="1"/>
      <w:numFmt w:val="bullet"/>
      <w:lvlText w:val="o"/>
      <w:lvlJc w:val="left"/>
      <w:pPr>
        <w:ind w:left="3600" w:hanging="360"/>
      </w:pPr>
      <w:rPr>
        <w:rFonts w:ascii="Courier New" w:hAnsi="Courier New" w:cs="Courier New" w:hint="default"/>
      </w:rPr>
    </w:lvl>
    <w:lvl w:ilvl="5" w:tplc="FF9207E6" w:tentative="1">
      <w:start w:val="1"/>
      <w:numFmt w:val="bullet"/>
      <w:lvlText w:val=""/>
      <w:lvlJc w:val="left"/>
      <w:pPr>
        <w:ind w:left="4320" w:hanging="360"/>
      </w:pPr>
      <w:rPr>
        <w:rFonts w:ascii="Wingdings" w:hAnsi="Wingdings" w:hint="default"/>
      </w:rPr>
    </w:lvl>
    <w:lvl w:ilvl="6" w:tplc="7C0E82BC" w:tentative="1">
      <w:start w:val="1"/>
      <w:numFmt w:val="bullet"/>
      <w:lvlText w:val=""/>
      <w:lvlJc w:val="left"/>
      <w:pPr>
        <w:ind w:left="5040" w:hanging="360"/>
      </w:pPr>
      <w:rPr>
        <w:rFonts w:ascii="Symbol" w:hAnsi="Symbol" w:hint="default"/>
      </w:rPr>
    </w:lvl>
    <w:lvl w:ilvl="7" w:tplc="01046506" w:tentative="1">
      <w:start w:val="1"/>
      <w:numFmt w:val="bullet"/>
      <w:lvlText w:val="o"/>
      <w:lvlJc w:val="left"/>
      <w:pPr>
        <w:ind w:left="5760" w:hanging="360"/>
      </w:pPr>
      <w:rPr>
        <w:rFonts w:ascii="Courier New" w:hAnsi="Courier New" w:cs="Courier New" w:hint="default"/>
      </w:rPr>
    </w:lvl>
    <w:lvl w:ilvl="8" w:tplc="06BA8CA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6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09F4"/>
    <w:rsid w:val="00043B84"/>
    <w:rsid w:val="0004512B"/>
    <w:rsid w:val="000463F0"/>
    <w:rsid w:val="00046A3B"/>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3F1"/>
    <w:rsid w:val="00091B2C"/>
    <w:rsid w:val="00092ABC"/>
    <w:rsid w:val="00097AAF"/>
    <w:rsid w:val="00097D13"/>
    <w:rsid w:val="000A4893"/>
    <w:rsid w:val="000A54E0"/>
    <w:rsid w:val="000A72C4"/>
    <w:rsid w:val="000B1486"/>
    <w:rsid w:val="000B3E61"/>
    <w:rsid w:val="000B54AF"/>
    <w:rsid w:val="000B6090"/>
    <w:rsid w:val="000B6FEE"/>
    <w:rsid w:val="000C12C4"/>
    <w:rsid w:val="000C249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6AB1"/>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5956"/>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0C56"/>
    <w:rsid w:val="001D1711"/>
    <w:rsid w:val="001D2A01"/>
    <w:rsid w:val="001D2EF6"/>
    <w:rsid w:val="001D37A8"/>
    <w:rsid w:val="001D462E"/>
    <w:rsid w:val="001E2CAD"/>
    <w:rsid w:val="001E34DB"/>
    <w:rsid w:val="001E37CD"/>
    <w:rsid w:val="001E4070"/>
    <w:rsid w:val="001E655E"/>
    <w:rsid w:val="001F376C"/>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84F"/>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4BE"/>
    <w:rsid w:val="002A381B"/>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BAD"/>
    <w:rsid w:val="002E21B8"/>
    <w:rsid w:val="002E7DF9"/>
    <w:rsid w:val="002F097B"/>
    <w:rsid w:val="002F3111"/>
    <w:rsid w:val="002F4AEC"/>
    <w:rsid w:val="002F795D"/>
    <w:rsid w:val="00300823"/>
    <w:rsid w:val="00300D7F"/>
    <w:rsid w:val="00301638"/>
    <w:rsid w:val="00303B0C"/>
    <w:rsid w:val="0030459C"/>
    <w:rsid w:val="00313BB1"/>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9CC"/>
    <w:rsid w:val="00357CA1"/>
    <w:rsid w:val="00361FE9"/>
    <w:rsid w:val="003624F2"/>
    <w:rsid w:val="00363854"/>
    <w:rsid w:val="00363969"/>
    <w:rsid w:val="00364315"/>
    <w:rsid w:val="003643E2"/>
    <w:rsid w:val="00370155"/>
    <w:rsid w:val="003712D5"/>
    <w:rsid w:val="003747DF"/>
    <w:rsid w:val="00377E3D"/>
    <w:rsid w:val="00380E4F"/>
    <w:rsid w:val="003847E8"/>
    <w:rsid w:val="0038731D"/>
    <w:rsid w:val="00387B60"/>
    <w:rsid w:val="00390098"/>
    <w:rsid w:val="0039170B"/>
    <w:rsid w:val="00392DA1"/>
    <w:rsid w:val="00393718"/>
    <w:rsid w:val="003A0296"/>
    <w:rsid w:val="003A10BC"/>
    <w:rsid w:val="003B1501"/>
    <w:rsid w:val="003B185E"/>
    <w:rsid w:val="003B198A"/>
    <w:rsid w:val="003B1CA3"/>
    <w:rsid w:val="003B1ED9"/>
    <w:rsid w:val="003B2891"/>
    <w:rsid w:val="003B37EC"/>
    <w:rsid w:val="003B3DF3"/>
    <w:rsid w:val="003B4826"/>
    <w:rsid w:val="003B48E2"/>
    <w:rsid w:val="003B4FA1"/>
    <w:rsid w:val="003B5BAD"/>
    <w:rsid w:val="003B66B6"/>
    <w:rsid w:val="003B7984"/>
    <w:rsid w:val="003B7AF6"/>
    <w:rsid w:val="003C0411"/>
    <w:rsid w:val="003C1871"/>
    <w:rsid w:val="003C1C55"/>
    <w:rsid w:val="003C25EA"/>
    <w:rsid w:val="003C36FD"/>
    <w:rsid w:val="003C664C"/>
    <w:rsid w:val="003D726D"/>
    <w:rsid w:val="003D7F2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4AAC"/>
    <w:rsid w:val="00492211"/>
    <w:rsid w:val="00492325"/>
    <w:rsid w:val="00492A6D"/>
    <w:rsid w:val="00494303"/>
    <w:rsid w:val="0049547E"/>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458"/>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6EFA"/>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A7DF4"/>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7E1"/>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463"/>
    <w:rsid w:val="00645750"/>
    <w:rsid w:val="006504E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6584"/>
    <w:rsid w:val="006B12AE"/>
    <w:rsid w:val="006B16B3"/>
    <w:rsid w:val="006B1918"/>
    <w:rsid w:val="006B233E"/>
    <w:rsid w:val="006B23D8"/>
    <w:rsid w:val="006B28D5"/>
    <w:rsid w:val="006B2A01"/>
    <w:rsid w:val="006B2B8C"/>
    <w:rsid w:val="006B2DEB"/>
    <w:rsid w:val="006B54C5"/>
    <w:rsid w:val="006B5E80"/>
    <w:rsid w:val="006B7A2E"/>
    <w:rsid w:val="006C1D7D"/>
    <w:rsid w:val="006C4709"/>
    <w:rsid w:val="006D3005"/>
    <w:rsid w:val="006D504F"/>
    <w:rsid w:val="006E051D"/>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20A9"/>
    <w:rsid w:val="00735B9D"/>
    <w:rsid w:val="007365A5"/>
    <w:rsid w:val="00736FB0"/>
    <w:rsid w:val="007404BC"/>
    <w:rsid w:val="00740D13"/>
    <w:rsid w:val="00740F5F"/>
    <w:rsid w:val="00742794"/>
    <w:rsid w:val="00743C4C"/>
    <w:rsid w:val="007445B7"/>
    <w:rsid w:val="00744920"/>
    <w:rsid w:val="007509BE"/>
    <w:rsid w:val="0075287B"/>
    <w:rsid w:val="00755C7B"/>
    <w:rsid w:val="00755F53"/>
    <w:rsid w:val="00764786"/>
    <w:rsid w:val="00766E12"/>
    <w:rsid w:val="0077098E"/>
    <w:rsid w:val="00771287"/>
    <w:rsid w:val="0077149E"/>
    <w:rsid w:val="0077399E"/>
    <w:rsid w:val="00777518"/>
    <w:rsid w:val="0077779E"/>
    <w:rsid w:val="00780FB6"/>
    <w:rsid w:val="0078552A"/>
    <w:rsid w:val="00785729"/>
    <w:rsid w:val="00786058"/>
    <w:rsid w:val="00790D20"/>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1A40"/>
    <w:rsid w:val="008347A9"/>
    <w:rsid w:val="00835628"/>
    <w:rsid w:val="00835E90"/>
    <w:rsid w:val="00840AA2"/>
    <w:rsid w:val="0084176D"/>
    <w:rsid w:val="008423E4"/>
    <w:rsid w:val="00842900"/>
    <w:rsid w:val="00850CF0"/>
    <w:rsid w:val="00851869"/>
    <w:rsid w:val="00851C04"/>
    <w:rsid w:val="008531A1"/>
    <w:rsid w:val="00853A94"/>
    <w:rsid w:val="008547A3"/>
    <w:rsid w:val="0085797D"/>
    <w:rsid w:val="00860020"/>
    <w:rsid w:val="00860D5B"/>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B20"/>
    <w:rsid w:val="008B7785"/>
    <w:rsid w:val="008C0809"/>
    <w:rsid w:val="008C132C"/>
    <w:rsid w:val="008C3FD0"/>
    <w:rsid w:val="008D27A5"/>
    <w:rsid w:val="008D2AAB"/>
    <w:rsid w:val="008D309C"/>
    <w:rsid w:val="008D5106"/>
    <w:rsid w:val="008D58F9"/>
    <w:rsid w:val="008E3338"/>
    <w:rsid w:val="008E3DE7"/>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D87"/>
    <w:rsid w:val="00917E0C"/>
    <w:rsid w:val="00920711"/>
    <w:rsid w:val="00921A1E"/>
    <w:rsid w:val="00924EA9"/>
    <w:rsid w:val="00925CE1"/>
    <w:rsid w:val="00925F5C"/>
    <w:rsid w:val="00930897"/>
    <w:rsid w:val="009320D2"/>
    <w:rsid w:val="00932C77"/>
    <w:rsid w:val="0093417F"/>
    <w:rsid w:val="00934AC2"/>
    <w:rsid w:val="00935121"/>
    <w:rsid w:val="009375BB"/>
    <w:rsid w:val="009418E9"/>
    <w:rsid w:val="00946044"/>
    <w:rsid w:val="009465AB"/>
    <w:rsid w:val="00946DEE"/>
    <w:rsid w:val="00953499"/>
    <w:rsid w:val="00954A16"/>
    <w:rsid w:val="0095696D"/>
    <w:rsid w:val="0096482F"/>
    <w:rsid w:val="00964CA1"/>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4A3"/>
    <w:rsid w:val="009C2A33"/>
    <w:rsid w:val="009C2E49"/>
    <w:rsid w:val="009C3377"/>
    <w:rsid w:val="009C36CD"/>
    <w:rsid w:val="009C43A5"/>
    <w:rsid w:val="009C5A1D"/>
    <w:rsid w:val="009C6B08"/>
    <w:rsid w:val="009C70FC"/>
    <w:rsid w:val="009D002B"/>
    <w:rsid w:val="009D37C7"/>
    <w:rsid w:val="009D4780"/>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0D7F"/>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499C"/>
    <w:rsid w:val="00AD7780"/>
    <w:rsid w:val="00AE2263"/>
    <w:rsid w:val="00AE248E"/>
    <w:rsid w:val="00AE2D12"/>
    <w:rsid w:val="00AE2F06"/>
    <w:rsid w:val="00AE4F1C"/>
    <w:rsid w:val="00AF1433"/>
    <w:rsid w:val="00AF48B4"/>
    <w:rsid w:val="00AF4923"/>
    <w:rsid w:val="00AF7C74"/>
    <w:rsid w:val="00AF7DC8"/>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954"/>
    <w:rsid w:val="00B2773C"/>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5DFB"/>
    <w:rsid w:val="00B90097"/>
    <w:rsid w:val="00B90999"/>
    <w:rsid w:val="00B91AD7"/>
    <w:rsid w:val="00B92D23"/>
    <w:rsid w:val="00B95BC8"/>
    <w:rsid w:val="00B96E87"/>
    <w:rsid w:val="00BA146A"/>
    <w:rsid w:val="00BA32EE"/>
    <w:rsid w:val="00BA729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48F0"/>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FEC"/>
    <w:rsid w:val="00C82743"/>
    <w:rsid w:val="00C834CE"/>
    <w:rsid w:val="00C9047F"/>
    <w:rsid w:val="00C91F65"/>
    <w:rsid w:val="00C92310"/>
    <w:rsid w:val="00C95150"/>
    <w:rsid w:val="00C95A73"/>
    <w:rsid w:val="00CA02B0"/>
    <w:rsid w:val="00CA032E"/>
    <w:rsid w:val="00CA06FF"/>
    <w:rsid w:val="00CA2182"/>
    <w:rsid w:val="00CA2186"/>
    <w:rsid w:val="00CA26EF"/>
    <w:rsid w:val="00CA3608"/>
    <w:rsid w:val="00CA4CA0"/>
    <w:rsid w:val="00CA5501"/>
    <w:rsid w:val="00CA5E5E"/>
    <w:rsid w:val="00CA7D7B"/>
    <w:rsid w:val="00CB0131"/>
    <w:rsid w:val="00CB0AE4"/>
    <w:rsid w:val="00CB0C21"/>
    <w:rsid w:val="00CB0D1A"/>
    <w:rsid w:val="00CB3627"/>
    <w:rsid w:val="00CB4B4B"/>
    <w:rsid w:val="00CB4B73"/>
    <w:rsid w:val="00CB74CB"/>
    <w:rsid w:val="00CB7E04"/>
    <w:rsid w:val="00CC11A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192"/>
    <w:rsid w:val="00D060A8"/>
    <w:rsid w:val="00D06605"/>
    <w:rsid w:val="00D0720F"/>
    <w:rsid w:val="00D074E2"/>
    <w:rsid w:val="00D11B0B"/>
    <w:rsid w:val="00D12A3E"/>
    <w:rsid w:val="00D22160"/>
    <w:rsid w:val="00D22172"/>
    <w:rsid w:val="00D2301B"/>
    <w:rsid w:val="00D239EE"/>
    <w:rsid w:val="00D268EF"/>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BD4"/>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6BF"/>
    <w:rsid w:val="00DA4AF1"/>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881"/>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50C"/>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07F"/>
    <w:rsid w:val="00F82811"/>
    <w:rsid w:val="00F84153"/>
    <w:rsid w:val="00F85661"/>
    <w:rsid w:val="00F96602"/>
    <w:rsid w:val="00F9735A"/>
    <w:rsid w:val="00FA32FC"/>
    <w:rsid w:val="00FA59FD"/>
    <w:rsid w:val="00FA5D8C"/>
    <w:rsid w:val="00FA6403"/>
    <w:rsid w:val="00FB16CD"/>
    <w:rsid w:val="00FB73AE"/>
    <w:rsid w:val="00FC3F68"/>
    <w:rsid w:val="00FC5388"/>
    <w:rsid w:val="00FC726C"/>
    <w:rsid w:val="00FC7D4C"/>
    <w:rsid w:val="00FD1B4B"/>
    <w:rsid w:val="00FD1B94"/>
    <w:rsid w:val="00FE19C5"/>
    <w:rsid w:val="00FE4286"/>
    <w:rsid w:val="00FE48C3"/>
    <w:rsid w:val="00FE58E4"/>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3D257-FFDE-4475-8984-A59B98F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26954"/>
    <w:rPr>
      <w:sz w:val="16"/>
      <w:szCs w:val="16"/>
    </w:rPr>
  </w:style>
  <w:style w:type="paragraph" w:styleId="CommentText">
    <w:name w:val="annotation text"/>
    <w:basedOn w:val="Normal"/>
    <w:link w:val="CommentTextChar"/>
    <w:semiHidden/>
    <w:unhideWhenUsed/>
    <w:rsid w:val="00B26954"/>
    <w:rPr>
      <w:sz w:val="20"/>
      <w:szCs w:val="20"/>
    </w:rPr>
  </w:style>
  <w:style w:type="character" w:customStyle="1" w:styleId="CommentTextChar">
    <w:name w:val="Comment Text Char"/>
    <w:basedOn w:val="DefaultParagraphFont"/>
    <w:link w:val="CommentText"/>
    <w:semiHidden/>
    <w:rsid w:val="00B26954"/>
  </w:style>
  <w:style w:type="paragraph" w:styleId="CommentSubject">
    <w:name w:val="annotation subject"/>
    <w:basedOn w:val="CommentText"/>
    <w:next w:val="CommentText"/>
    <w:link w:val="CommentSubjectChar"/>
    <w:semiHidden/>
    <w:unhideWhenUsed/>
    <w:rsid w:val="00B26954"/>
    <w:rPr>
      <w:b/>
      <w:bCs/>
    </w:rPr>
  </w:style>
  <w:style w:type="character" w:customStyle="1" w:styleId="CommentSubjectChar">
    <w:name w:val="Comment Subject Char"/>
    <w:basedOn w:val="CommentTextChar"/>
    <w:link w:val="CommentSubject"/>
    <w:semiHidden/>
    <w:rsid w:val="00B26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5880</Characters>
  <Application>Microsoft Office Word</Application>
  <DocSecurity>4</DocSecurity>
  <Lines>128</Lines>
  <Paragraphs>44</Paragraphs>
  <ScaleCrop>false</ScaleCrop>
  <HeadingPairs>
    <vt:vector size="2" baseType="variant">
      <vt:variant>
        <vt:lpstr>Title</vt:lpstr>
      </vt:variant>
      <vt:variant>
        <vt:i4>1</vt:i4>
      </vt:variant>
    </vt:vector>
  </HeadingPairs>
  <TitlesOfParts>
    <vt:vector size="1" baseType="lpstr">
      <vt:lpstr>BA - HB01545 (Committee Report (Substituted))</vt:lpstr>
    </vt:vector>
  </TitlesOfParts>
  <Company>State of Texas</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17378</dc:subject>
  <dc:creator>State of Texas</dc:creator>
  <dc:description>HB 1545 by Cyrier-(H)County Affairs (Substitute Document Number: 87R 16208)</dc:description>
  <cp:lastModifiedBy>Stacey Nicchio</cp:lastModifiedBy>
  <cp:revision>2</cp:revision>
  <cp:lastPrinted>2003-11-26T17:21:00Z</cp:lastPrinted>
  <dcterms:created xsi:type="dcterms:W3CDTF">2021-04-01T18:28:00Z</dcterms:created>
  <dcterms:modified xsi:type="dcterms:W3CDTF">2021-04-01T18:28:00Z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21.87.273</vt:lpwstr>
  </property>
</Properties>
</file>