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465E2" w14:paraId="6AECCA82" w14:textId="77777777" w:rsidTr="00345119">
        <w:tc>
          <w:tcPr>
            <w:tcW w:w="9576" w:type="dxa"/>
            <w:noWrap/>
          </w:tcPr>
          <w:p w14:paraId="3B19E180" w14:textId="77777777" w:rsidR="008423E4" w:rsidRPr="0022177D" w:rsidRDefault="005E68CF" w:rsidP="00F719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21C35B" w14:textId="77777777" w:rsidR="008423E4" w:rsidRPr="0022177D" w:rsidRDefault="008423E4" w:rsidP="00F71939">
      <w:pPr>
        <w:jc w:val="center"/>
      </w:pPr>
    </w:p>
    <w:p w14:paraId="3F5043B7" w14:textId="77777777" w:rsidR="008423E4" w:rsidRPr="00B31F0E" w:rsidRDefault="008423E4" w:rsidP="00F71939"/>
    <w:p w14:paraId="05428C2A" w14:textId="77777777" w:rsidR="008423E4" w:rsidRPr="00742794" w:rsidRDefault="008423E4" w:rsidP="00F719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65E2" w14:paraId="7A78E34B" w14:textId="77777777" w:rsidTr="00345119">
        <w:tc>
          <w:tcPr>
            <w:tcW w:w="9576" w:type="dxa"/>
          </w:tcPr>
          <w:p w14:paraId="6507E213" w14:textId="0DF75DC1" w:rsidR="008423E4" w:rsidRPr="00861995" w:rsidRDefault="005E68CF" w:rsidP="00F71939">
            <w:pPr>
              <w:jc w:val="right"/>
            </w:pPr>
            <w:r>
              <w:t>H.B. 1550</w:t>
            </w:r>
          </w:p>
        </w:tc>
      </w:tr>
      <w:tr w:rsidR="006465E2" w14:paraId="4E621538" w14:textId="77777777" w:rsidTr="00345119">
        <w:tc>
          <w:tcPr>
            <w:tcW w:w="9576" w:type="dxa"/>
          </w:tcPr>
          <w:p w14:paraId="0AB49FC6" w14:textId="6010909C" w:rsidR="008423E4" w:rsidRPr="00861995" w:rsidRDefault="005E68CF" w:rsidP="00A9679C">
            <w:pPr>
              <w:jc w:val="right"/>
            </w:pPr>
            <w:r>
              <w:t xml:space="preserve">By: </w:t>
            </w:r>
            <w:r w:rsidR="00A9679C">
              <w:t>Cyrier</w:t>
            </w:r>
          </w:p>
        </w:tc>
      </w:tr>
      <w:tr w:rsidR="006465E2" w14:paraId="37778BC6" w14:textId="77777777" w:rsidTr="00345119">
        <w:tc>
          <w:tcPr>
            <w:tcW w:w="9576" w:type="dxa"/>
          </w:tcPr>
          <w:p w14:paraId="23D4D837" w14:textId="6F7EE4E4" w:rsidR="008423E4" w:rsidRPr="00861995" w:rsidRDefault="005E68CF" w:rsidP="00F71939">
            <w:pPr>
              <w:jc w:val="right"/>
            </w:pPr>
            <w:r>
              <w:t>Homeland Security &amp; Public Safety</w:t>
            </w:r>
          </w:p>
        </w:tc>
      </w:tr>
      <w:tr w:rsidR="006465E2" w14:paraId="4CB62CA9" w14:textId="77777777" w:rsidTr="00345119">
        <w:tc>
          <w:tcPr>
            <w:tcW w:w="9576" w:type="dxa"/>
          </w:tcPr>
          <w:p w14:paraId="003A03F3" w14:textId="0531101E" w:rsidR="008423E4" w:rsidRDefault="005E68CF" w:rsidP="00F71939">
            <w:pPr>
              <w:jc w:val="right"/>
            </w:pPr>
            <w:r>
              <w:t>Committee Report (Unamended)</w:t>
            </w:r>
          </w:p>
        </w:tc>
      </w:tr>
    </w:tbl>
    <w:p w14:paraId="03DC2FC2" w14:textId="77777777" w:rsidR="008423E4" w:rsidRDefault="008423E4" w:rsidP="00F71939">
      <w:pPr>
        <w:tabs>
          <w:tab w:val="right" w:pos="9360"/>
        </w:tabs>
      </w:pPr>
    </w:p>
    <w:p w14:paraId="3120D79B" w14:textId="77777777" w:rsidR="008423E4" w:rsidRDefault="008423E4" w:rsidP="00F71939"/>
    <w:p w14:paraId="53FC1CA4" w14:textId="77777777" w:rsidR="008423E4" w:rsidRDefault="008423E4" w:rsidP="00F719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65E2" w14:paraId="279FD53E" w14:textId="77777777" w:rsidTr="00345119">
        <w:tc>
          <w:tcPr>
            <w:tcW w:w="9576" w:type="dxa"/>
          </w:tcPr>
          <w:p w14:paraId="09E3966C" w14:textId="77777777" w:rsidR="008423E4" w:rsidRPr="00A8133F" w:rsidRDefault="005E68CF" w:rsidP="00F719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0E74B6" w14:textId="77777777" w:rsidR="008423E4" w:rsidRDefault="008423E4" w:rsidP="00F71939"/>
          <w:p w14:paraId="74A07542" w14:textId="0CDA689D" w:rsidR="008423E4" w:rsidRDefault="005E68CF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2256">
              <w:t xml:space="preserve">The Texas Commission on Law Enforcement (TCOLE) sets and enforces minimum licensing and training standards for law </w:t>
            </w:r>
            <w:r w:rsidRPr="00342256">
              <w:t>enforcement personnel at the state level but has no meaningful role in enforcing standards of conduct or establishing disciplinary policies</w:t>
            </w:r>
            <w:r w:rsidR="00F24E8F">
              <w:t>. Those duties</w:t>
            </w:r>
            <w:r w:rsidRPr="00342256">
              <w:t xml:space="preserve"> are performed by local law enforcement agencies. </w:t>
            </w:r>
            <w:r>
              <w:t>Following review by the Sunset Advisory Commission, t</w:t>
            </w:r>
            <w:r>
              <w:t>he commission found that</w:t>
            </w:r>
            <w:r w:rsidR="009642E6">
              <w:t>,</w:t>
            </w:r>
            <w:r>
              <w:t xml:space="preserve"> </w:t>
            </w:r>
            <w:r w:rsidR="00F24E8F">
              <w:t xml:space="preserve">although </w:t>
            </w:r>
            <w:r w:rsidRPr="00342256">
              <w:t xml:space="preserve">Texas has a clear and continuing need to regulate law enforcement, the </w:t>
            </w:r>
            <w:r w:rsidR="009642E6" w:rsidRPr="00342256">
              <w:t>state</w:t>
            </w:r>
            <w:r w:rsidR="009642E6">
              <w:t>'</w:t>
            </w:r>
            <w:r w:rsidR="009642E6" w:rsidRPr="00342256">
              <w:t xml:space="preserve">s </w:t>
            </w:r>
            <w:r w:rsidRPr="00342256">
              <w:t xml:space="preserve">current regulation is, by and large, toothless. </w:t>
            </w:r>
            <w:r>
              <w:t>The state's</w:t>
            </w:r>
            <w:r w:rsidRPr="00342256">
              <w:t xml:space="preserve"> bifurcated </w:t>
            </w:r>
            <w:r>
              <w:t xml:space="preserve">regulatory </w:t>
            </w:r>
            <w:r w:rsidRPr="00342256">
              <w:t xml:space="preserve">approach has resulted in a fragmented, outdated system with </w:t>
            </w:r>
            <w:r w:rsidRPr="00342256">
              <w:t xml:space="preserve">poor accountability, </w:t>
            </w:r>
            <w:r>
              <w:t xml:space="preserve">a </w:t>
            </w:r>
            <w:r w:rsidRPr="00342256">
              <w:t xml:space="preserve">lack of statewide standards, and inadequate </w:t>
            </w:r>
            <w:r>
              <w:t xml:space="preserve">officer </w:t>
            </w:r>
            <w:r w:rsidRPr="00342256">
              <w:t>training</w:t>
            </w:r>
            <w:r w:rsidR="00D423DF">
              <w:t xml:space="preserve"> that cannot be addressed solely through changes to TCOLE operations</w:t>
            </w:r>
            <w:r w:rsidRPr="00342256">
              <w:t>. H.B. 1550 seeks to continue TCOLE for two years while establishing a blue ribbon panel to comprehensive</w:t>
            </w:r>
            <w:r w:rsidRPr="00342256">
              <w:t xml:space="preserve">ly review and recommend </w:t>
            </w:r>
            <w:r w:rsidR="00F24E8F">
              <w:t>to the 88th Legislature</w:t>
            </w:r>
            <w:r w:rsidR="00F24E8F" w:rsidRPr="00342256">
              <w:t xml:space="preserve"> </w:t>
            </w:r>
            <w:r w:rsidRPr="00342256">
              <w:t xml:space="preserve">changes </w:t>
            </w:r>
            <w:r w:rsidR="00F24E8F" w:rsidRPr="00342256">
              <w:t xml:space="preserve">needed </w:t>
            </w:r>
            <w:r w:rsidRPr="00342256">
              <w:t>to improve law enforcement regulation in Texas</w:t>
            </w:r>
            <w:r w:rsidR="00423CD2" w:rsidRPr="00342256">
              <w:t xml:space="preserve">, including </w:t>
            </w:r>
            <w:r w:rsidR="00423CD2">
              <w:t>the role of TCOLE</w:t>
            </w:r>
            <w:r w:rsidR="00AA458A">
              <w:t>. The bill</w:t>
            </w:r>
            <w:r>
              <w:t xml:space="preserve"> also</w:t>
            </w:r>
            <w:r w:rsidRPr="00342256">
              <w:t xml:space="preserve"> </w:t>
            </w:r>
            <w:r>
              <w:t>mak</w:t>
            </w:r>
            <w:r w:rsidR="00AA458A">
              <w:t>es</w:t>
            </w:r>
            <w:r w:rsidRPr="00342256">
              <w:t xml:space="preserve"> a number of </w:t>
            </w:r>
            <w:r>
              <w:t xml:space="preserve">statutory </w:t>
            </w:r>
            <w:r w:rsidR="00F24E8F">
              <w:t>changes</w:t>
            </w:r>
            <w:r w:rsidRPr="00342256">
              <w:t xml:space="preserve"> </w:t>
            </w:r>
            <w:r w:rsidR="00AA458A">
              <w:t>designed to improve</w:t>
            </w:r>
            <w:r>
              <w:t xml:space="preserve"> the </w:t>
            </w:r>
            <w:r w:rsidRPr="00342256">
              <w:t>efficiency and effectiveness</w:t>
            </w:r>
            <w:r>
              <w:t xml:space="preserve"> of TCOLE </w:t>
            </w:r>
            <w:r w:rsidR="00AA458A">
              <w:t>operations</w:t>
            </w:r>
            <w:r w:rsidRPr="00342256">
              <w:t>, regardless of future policy decisions.</w:t>
            </w:r>
          </w:p>
          <w:p w14:paraId="4ABF4AA7" w14:textId="77777777" w:rsidR="008423E4" w:rsidRPr="00E26B13" w:rsidRDefault="008423E4" w:rsidP="00F71939">
            <w:pPr>
              <w:rPr>
                <w:b/>
              </w:rPr>
            </w:pPr>
          </w:p>
        </w:tc>
      </w:tr>
      <w:tr w:rsidR="006465E2" w14:paraId="4953D5F7" w14:textId="77777777" w:rsidTr="00345119">
        <w:tc>
          <w:tcPr>
            <w:tcW w:w="9576" w:type="dxa"/>
          </w:tcPr>
          <w:p w14:paraId="39C46691" w14:textId="77777777" w:rsidR="0017725B" w:rsidRDefault="005E68CF" w:rsidP="00F719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9FA79C" w14:textId="77777777" w:rsidR="0017725B" w:rsidRDefault="0017725B" w:rsidP="00F71939">
            <w:pPr>
              <w:rPr>
                <w:b/>
                <w:u w:val="single"/>
              </w:rPr>
            </w:pPr>
          </w:p>
          <w:p w14:paraId="73679E91" w14:textId="3650F466" w:rsidR="00016BF2" w:rsidRPr="00016BF2" w:rsidRDefault="005E68CF" w:rsidP="00F7193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14:paraId="7B56BB14" w14:textId="77777777" w:rsidR="0017725B" w:rsidRPr="0017725B" w:rsidRDefault="0017725B" w:rsidP="00F71939">
            <w:pPr>
              <w:rPr>
                <w:b/>
                <w:u w:val="single"/>
              </w:rPr>
            </w:pPr>
          </w:p>
        </w:tc>
      </w:tr>
      <w:tr w:rsidR="006465E2" w14:paraId="762063B0" w14:textId="77777777" w:rsidTr="00345119">
        <w:tc>
          <w:tcPr>
            <w:tcW w:w="9576" w:type="dxa"/>
          </w:tcPr>
          <w:p w14:paraId="30444D8E" w14:textId="77777777" w:rsidR="008423E4" w:rsidRPr="00A8133F" w:rsidRDefault="005E68CF" w:rsidP="00F719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601ED8" w14:textId="77777777" w:rsidR="008423E4" w:rsidRDefault="008423E4" w:rsidP="00F71939"/>
          <w:p w14:paraId="6555FDD7" w14:textId="599DE61E" w:rsidR="00016BF2" w:rsidRDefault="005E68CF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Law Enforcement in SECTIONS 4, 11</w:t>
            </w:r>
            <w:r>
              <w:t>, and 14 of this bill.</w:t>
            </w:r>
          </w:p>
          <w:p w14:paraId="16592D02" w14:textId="77777777" w:rsidR="008423E4" w:rsidRPr="00E21FDC" w:rsidRDefault="008423E4" w:rsidP="00F71939">
            <w:pPr>
              <w:rPr>
                <w:b/>
              </w:rPr>
            </w:pPr>
          </w:p>
        </w:tc>
      </w:tr>
      <w:tr w:rsidR="006465E2" w14:paraId="35F9349F" w14:textId="77777777" w:rsidTr="00345119">
        <w:tc>
          <w:tcPr>
            <w:tcW w:w="9576" w:type="dxa"/>
          </w:tcPr>
          <w:p w14:paraId="539D5F75" w14:textId="77777777" w:rsidR="008423E4" w:rsidRPr="00A8133F" w:rsidRDefault="005E68CF" w:rsidP="00F719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63E38B" w14:textId="77777777" w:rsidR="008423E4" w:rsidRDefault="008423E4" w:rsidP="00F71939"/>
          <w:p w14:paraId="04DF4F9D" w14:textId="1174CFE1" w:rsidR="003A0160" w:rsidRDefault="005E68CF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652EB6">
              <w:t>1550</w:t>
            </w:r>
            <w:r>
              <w:t xml:space="preserve"> amends the </w:t>
            </w:r>
            <w:r w:rsidR="007D5CEC">
              <w:t xml:space="preserve">Occupations Code to continue the Texas Commission on Law Enforcement (TCOLE) and applicable state law governing TCOLE and the </w:t>
            </w:r>
            <w:r w:rsidR="00581277">
              <w:t xml:space="preserve">licensing and </w:t>
            </w:r>
            <w:r w:rsidR="007D5CEC">
              <w:t xml:space="preserve">regulation of law enforcement officers until September 1, 2023. </w:t>
            </w:r>
            <w:r>
              <w:t>The bill provides for a limited-scope review of TCOLE by the Sunset Advisory Commission for the 88th Legislature</w:t>
            </w:r>
            <w:r w:rsidR="005E06F5">
              <w:t xml:space="preserve"> to include an update on TCOLE's progress in implementing recommendations to the 87th Legislature and an evaluation of any legislative recommendations made by the panel under the bill's provisions. The bill</w:t>
            </w:r>
            <w:r>
              <w:t xml:space="preserve"> authorizes the sunset commission's recommendations to the 88th Legislature to include any appropriate recommendations based on that </w:t>
            </w:r>
            <w:r w:rsidR="005E06F5">
              <w:t xml:space="preserve">limited-scope </w:t>
            </w:r>
            <w:r>
              <w:t>review.</w:t>
            </w:r>
          </w:p>
          <w:p w14:paraId="73279C50" w14:textId="77777777" w:rsidR="003A0160" w:rsidRDefault="003A0160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1D35BF" w14:textId="666BEA3F" w:rsidR="009C36CD" w:rsidRDefault="005E68CF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1550</w:t>
            </w:r>
            <w:r w:rsidR="007D5CEC">
              <w:t xml:space="preserve"> does the following</w:t>
            </w:r>
            <w:r>
              <w:t xml:space="preserve"> wit</w:t>
            </w:r>
            <w:r>
              <w:t>h respect to TCOLE</w:t>
            </w:r>
            <w:r w:rsidR="007D5CEC">
              <w:t>:</w:t>
            </w:r>
          </w:p>
          <w:p w14:paraId="1B042D79" w14:textId="77777777" w:rsidR="00284AAB" w:rsidRDefault="005E68CF" w:rsidP="00F7193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regarding TCOLE member training:</w:t>
            </w:r>
          </w:p>
          <w:p w14:paraId="31A3A998" w14:textId="1B976B82" w:rsidR="007D5CEC" w:rsidRDefault="005E68CF" w:rsidP="00F71939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revises provisions related to TCOLE member training and provides for the creation of a related training manual that each member must acknowledge having received and reviewed; and</w:t>
            </w:r>
          </w:p>
          <w:p w14:paraId="6EADF173" w14:textId="77777777" w:rsidR="007D5CEC" w:rsidRDefault="005E68CF" w:rsidP="00F71939">
            <w:pPr>
              <w:pStyle w:val="Header"/>
              <w:numPr>
                <w:ilvl w:val="1"/>
                <w:numId w:val="1"/>
              </w:numPr>
              <w:jc w:val="both"/>
            </w:pPr>
            <w:r>
              <w:t>provides for the transit</w:t>
            </w:r>
            <w:r>
              <w:t>ion to the new training requirements for TCOLE members appointed before the bill's effective date;</w:t>
            </w:r>
          </w:p>
          <w:p w14:paraId="2214C2B0" w14:textId="77777777" w:rsidR="007D5CEC" w:rsidRDefault="005E68CF" w:rsidP="00F719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removes the authority for TCOLE to establish minimum moral standards for licensing;</w:t>
            </w:r>
          </w:p>
          <w:p w14:paraId="117DA1CC" w14:textId="77777777" w:rsidR="00DD1F4A" w:rsidRDefault="005E68CF" w:rsidP="00F719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TCOLE to appoint advisory committees;</w:t>
            </w:r>
          </w:p>
          <w:p w14:paraId="1BB4CA01" w14:textId="37016B3A" w:rsidR="00DD1F4A" w:rsidRDefault="005E68CF" w:rsidP="00F719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TCOLE subpoena</w:t>
            </w:r>
            <w:r>
              <w:t xml:space="preserve"> powers for purposes of investigating an alleged violation of applicable state law or rule and authorizes TCOLE, acting through the attorney general, to bring an action to enforce the subpoena;</w:t>
            </w:r>
          </w:p>
          <w:p w14:paraId="48DF3C9B" w14:textId="05053B8E" w:rsidR="00C07B3B" w:rsidRDefault="005E68CF" w:rsidP="00F719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TCOLE is not required to provide the identity</w:t>
            </w:r>
            <w:r>
              <w:t xml:space="preserve"> of any nontestifying complain</w:t>
            </w:r>
            <w:r w:rsidR="00087747">
              <w:t>an</w:t>
            </w:r>
            <w:r>
              <w:t xml:space="preserve">t when providing </w:t>
            </w:r>
            <w:r w:rsidR="004D2343">
              <w:t xml:space="preserve">a </w:t>
            </w:r>
            <w:r>
              <w:t>license holder information regarding complaints made against the license holder;</w:t>
            </w:r>
            <w:r w:rsidR="009E75B8">
              <w:t xml:space="preserve"> and</w:t>
            </w:r>
          </w:p>
          <w:p w14:paraId="09ECCB1B" w14:textId="34CA74C7" w:rsidR="005E2D04" w:rsidRDefault="005E68CF" w:rsidP="00F7193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updates </w:t>
            </w:r>
            <w:r w:rsidR="00C22527">
              <w:t>provisions relating to TCOLE complaint procedures to</w:t>
            </w:r>
            <w:r>
              <w:t xml:space="preserve"> apply</w:t>
            </w:r>
            <w:r w:rsidR="00C22527">
              <w:t xml:space="preserve"> certain </w:t>
            </w:r>
            <w:r w:rsidR="00C22527" w:rsidRPr="00082875">
              <w:t>good government standards</w:t>
            </w:r>
            <w:r w:rsidR="009E75B8">
              <w:t>.</w:t>
            </w:r>
          </w:p>
          <w:p w14:paraId="693A0ED3" w14:textId="77777777" w:rsidR="005E2D04" w:rsidRDefault="005E2D04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474BF1" w14:textId="7584B346" w:rsidR="00FC0C40" w:rsidRDefault="005E68CF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1550 requires TCOLE to adopt rules </w:t>
            </w:r>
            <w:r w:rsidRPr="00C07B3B">
              <w:t xml:space="preserve">specifying the circumstances under </w:t>
            </w:r>
            <w:r>
              <w:t>which it</w:t>
            </w:r>
            <w:r w:rsidRPr="00C07B3B">
              <w:t xml:space="preserve"> may request that a license holder submit to </w:t>
            </w:r>
            <w:r>
              <w:t>a</w:t>
            </w:r>
            <w:r w:rsidR="002E08E2">
              <w:t>n</w:t>
            </w:r>
            <w:r>
              <w:t xml:space="preserve"> </w:t>
            </w:r>
            <w:r w:rsidRPr="00C07B3B">
              <w:t xml:space="preserve">examination by a psychologist, psychiatrist, or physician selected by </w:t>
            </w:r>
            <w:r>
              <w:t>TCOLE</w:t>
            </w:r>
            <w:r w:rsidRPr="00C07B3B">
              <w:t xml:space="preserve"> to determine whether the lice</w:t>
            </w:r>
            <w:r>
              <w:t>nse holder continues</w:t>
            </w:r>
            <w:r>
              <w:t xml:space="preserve"> to meet applicable licensing</w:t>
            </w:r>
            <w:r w:rsidRPr="00C07B3B">
              <w:t xml:space="preserve"> standards</w:t>
            </w:r>
            <w:r>
              <w:t xml:space="preserve">. </w:t>
            </w:r>
            <w:r w:rsidRPr="00FC0C40">
              <w:t xml:space="preserve">If the license holder refuses to submit to the examination, </w:t>
            </w:r>
            <w:r>
              <w:t xml:space="preserve">TCOLE </w:t>
            </w:r>
            <w:r w:rsidR="00977C04">
              <w:t>must</w:t>
            </w:r>
            <w:r>
              <w:t xml:space="preserve"> </w:t>
            </w:r>
            <w:r w:rsidRPr="00FC0C40">
              <w:t>issue an order requiring the person to show cause for the refusal at a hearing</w:t>
            </w:r>
            <w:r>
              <w:t>.</w:t>
            </w:r>
            <w:r w:rsidRPr="00FC0C40">
              <w:t xml:space="preserve"> </w:t>
            </w:r>
            <w:r>
              <w:t xml:space="preserve">The bill sets out provisions relating to </w:t>
            </w:r>
            <w:r w:rsidR="00B921DC">
              <w:t>the</w:t>
            </w:r>
            <w:r>
              <w:t xml:space="preserve"> hearing and </w:t>
            </w:r>
            <w:r w:rsidR="00FF4C5D">
              <w:t xml:space="preserve">relating to </w:t>
            </w:r>
            <w:r w:rsidR="007167A1">
              <w:t>the appeal of a TCOLE order</w:t>
            </w:r>
            <w:r w:rsidR="00B921DC">
              <w:t xml:space="preserve">, if applicable, </w:t>
            </w:r>
            <w:r w:rsidR="007167A1">
              <w:t xml:space="preserve">and </w:t>
            </w:r>
            <w:r>
              <w:t xml:space="preserve">authorizes TCOLE to suspend the license of a person who refuses to submit to </w:t>
            </w:r>
            <w:r w:rsidR="007167A1">
              <w:t>an</w:t>
            </w:r>
            <w:r>
              <w:t xml:space="preserve"> examination unless </w:t>
            </w:r>
            <w:r w:rsidR="00977C04">
              <w:t xml:space="preserve">TCOLE withdraws the </w:t>
            </w:r>
            <w:r>
              <w:t xml:space="preserve">request </w:t>
            </w:r>
            <w:r w:rsidR="008C3EA4">
              <w:t xml:space="preserve">for the person </w:t>
            </w:r>
            <w:r w:rsidR="00977C04">
              <w:t>to do so</w:t>
            </w:r>
            <w:r>
              <w:t xml:space="preserve">. </w:t>
            </w:r>
            <w:r w:rsidR="007167A1" w:rsidRPr="007167A1">
              <w:t>If the results of an examination show that the person does not meet the</w:t>
            </w:r>
            <w:r w:rsidR="007167A1">
              <w:t xml:space="preserve"> applicable standards</w:t>
            </w:r>
            <w:r w:rsidR="007167A1" w:rsidRPr="007167A1">
              <w:t xml:space="preserve">, </w:t>
            </w:r>
            <w:r w:rsidR="007167A1">
              <w:t>TCOLE is required to</w:t>
            </w:r>
            <w:r w:rsidR="007167A1" w:rsidRPr="007167A1">
              <w:t xml:space="preserve"> suspend the person's license.</w:t>
            </w:r>
            <w:r w:rsidR="007167A1">
              <w:t xml:space="preserve"> The bill makes records relating to </w:t>
            </w:r>
            <w:r w:rsidR="008C3EA4">
              <w:t xml:space="preserve">a </w:t>
            </w:r>
            <w:r w:rsidR="007167A1">
              <w:t>request, order, hearing, or examination confidential and not subject to disclosure under state public information law.</w:t>
            </w:r>
          </w:p>
          <w:p w14:paraId="17D1D99D" w14:textId="77777777" w:rsidR="005E2D04" w:rsidRDefault="005E2D04" w:rsidP="00F71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B89015" w14:textId="397C0DA2" w:rsidR="004557D4" w:rsidRDefault="005E68CF" w:rsidP="00F71939">
            <w:pPr>
              <w:pStyle w:val="Header"/>
              <w:jc w:val="both"/>
            </w:pPr>
            <w:r>
              <w:t xml:space="preserve">H.B. </w:t>
            </w:r>
            <w:r>
              <w:t xml:space="preserve">1550 </w:t>
            </w:r>
            <w:r w:rsidRPr="005E2D04">
              <w:t>provides for a fingerprint-based criminal history record information check for license ap</w:t>
            </w:r>
            <w:r>
              <w:t>plicants</w:t>
            </w:r>
            <w:r w:rsidR="00581277">
              <w:t xml:space="preserve"> based on information obtained by TCOLE from the </w:t>
            </w:r>
            <w:r w:rsidR="00326A55">
              <w:t xml:space="preserve">individual and from the </w:t>
            </w:r>
            <w:r w:rsidR="00581277">
              <w:t xml:space="preserve">Department of Public Safety (DPS), </w:t>
            </w:r>
            <w:r w:rsidRPr="005E2D04">
              <w:t xml:space="preserve">the FBI, and any other applicable </w:t>
            </w:r>
            <w:r>
              <w:t xml:space="preserve">criminal </w:t>
            </w:r>
            <w:r>
              <w:t>justice agency</w:t>
            </w:r>
            <w:r w:rsidR="00326A55">
              <w:t>.</w:t>
            </w:r>
            <w:r w:rsidR="00581277">
              <w:t xml:space="preserve"> </w:t>
            </w:r>
            <w:r w:rsidR="00326A55">
              <w:t xml:space="preserve">The bill </w:t>
            </w:r>
            <w:r w:rsidR="00581277">
              <w:t>prohibits TCOLE from issuing a license to a person who does not comply with the requirement to submit a complete and legible set of fingerprints for purposes of obtaining that information</w:t>
            </w:r>
            <w:r>
              <w:t>. The bill authorizes TCOLE to enter into an</w:t>
            </w:r>
            <w:r>
              <w:t xml:space="preserve"> agreement with DPS to administer the record check and </w:t>
            </w:r>
            <w:r w:rsidR="00326A55">
              <w:t xml:space="preserve">to authorize DPS to </w:t>
            </w:r>
            <w:r>
              <w:t xml:space="preserve">collect from each applicant the costs incurred in doing so. </w:t>
            </w:r>
          </w:p>
          <w:p w14:paraId="7829DEE4" w14:textId="77777777" w:rsidR="004557D4" w:rsidRDefault="004557D4" w:rsidP="00F71939">
            <w:pPr>
              <w:pStyle w:val="Header"/>
              <w:jc w:val="both"/>
            </w:pPr>
          </w:p>
          <w:p w14:paraId="3C122159" w14:textId="50AEF821" w:rsidR="005E2D04" w:rsidRDefault="005E68CF" w:rsidP="00F71939">
            <w:pPr>
              <w:pStyle w:val="Header"/>
              <w:jc w:val="both"/>
            </w:pPr>
            <w:r>
              <w:t>H.B. 1550 requires TCOLE to conduct a fingerprint-based criminal history record check not later than September 1, 2024,</w:t>
            </w:r>
            <w:r>
              <w:t xml:space="preserve"> on each person who holds a license on September 1, 2021. The bill authorizes TCOLE to suspend the license of a person who does not comply with a request to provide information or fingerprints that would enable TCOLE to obtain the requisite criminal histor</w:t>
            </w:r>
            <w:r>
              <w:t>y record information. The bill authorizes TCOLE to adopt rules to implement these provisions, including rules to stagger implementation.</w:t>
            </w:r>
          </w:p>
          <w:p w14:paraId="310EA64E" w14:textId="4DE10AFF" w:rsidR="009E75B8" w:rsidRDefault="009E75B8" w:rsidP="00F71939">
            <w:pPr>
              <w:pStyle w:val="Header"/>
              <w:jc w:val="both"/>
            </w:pPr>
          </w:p>
          <w:p w14:paraId="4D6FAFA1" w14:textId="35741D01" w:rsidR="009E75B8" w:rsidRDefault="005E68CF" w:rsidP="00F71939">
            <w:pPr>
              <w:pStyle w:val="Header"/>
              <w:jc w:val="both"/>
            </w:pPr>
            <w:r>
              <w:t xml:space="preserve">H.B. 1550 requires TCOLE to adopt rules </w:t>
            </w:r>
            <w:r w:rsidRPr="009E75B8">
              <w:t xml:space="preserve">specifying the circumstances under which </w:t>
            </w:r>
            <w:r>
              <w:t>it</w:t>
            </w:r>
            <w:r w:rsidRPr="009E75B8">
              <w:t xml:space="preserve"> may issue </w:t>
            </w:r>
            <w:r w:rsidR="00286E01" w:rsidRPr="009E75B8">
              <w:t xml:space="preserve">without a hearing </w:t>
            </w:r>
            <w:r w:rsidRPr="009E75B8">
              <w:t>an eme</w:t>
            </w:r>
            <w:r w:rsidRPr="009E75B8">
              <w:t xml:space="preserve">rgency order suspending a person's license for a </w:t>
            </w:r>
            <w:r w:rsidR="000A6DEC">
              <w:t xml:space="preserve">maximum </w:t>
            </w:r>
            <w:r w:rsidRPr="009E75B8">
              <w:t xml:space="preserve">period </w:t>
            </w:r>
            <w:r w:rsidR="000A6DEC">
              <w:t>of</w:t>
            </w:r>
            <w:r w:rsidRPr="009E75B8">
              <w:t xml:space="preserve"> 90 days after determining that the person constitutes an imminent threat to the public health, safety, or welfare</w:t>
            </w:r>
            <w:r w:rsidR="008E389E">
              <w:t xml:space="preserve">. The bill requires an emergency suspension order to state the length of the suspension and requires TCOLE, </w:t>
            </w:r>
            <w:r w:rsidR="00286E01">
              <w:t xml:space="preserve">on </w:t>
            </w:r>
            <w:r w:rsidR="008E389E">
              <w:t xml:space="preserve">issuing an emergency order without a hearing, to </w:t>
            </w:r>
            <w:r w:rsidR="008E389E" w:rsidRPr="008E389E">
              <w:t xml:space="preserve">set the time and place for a hearing to be conducted </w:t>
            </w:r>
            <w:r w:rsidR="002C0C06">
              <w:t xml:space="preserve">by the State Office of Administrative Hearings </w:t>
            </w:r>
            <w:r w:rsidR="008E389E" w:rsidRPr="008E389E">
              <w:t>not later than the 10th day after the date the order was issued</w:t>
            </w:r>
            <w:r w:rsidR="008E389E">
              <w:t>. The bill sets out provisions relating to such a hearing, including an authorization for TCOLE</w:t>
            </w:r>
            <w:r w:rsidR="008E389E" w:rsidRPr="008E389E">
              <w:t xml:space="preserve"> by rule </w:t>
            </w:r>
            <w:r w:rsidR="008E389E">
              <w:t>to</w:t>
            </w:r>
            <w:r w:rsidR="008E389E" w:rsidRPr="008E389E">
              <w:t xml:space="preserve"> prescribe procedures for the determination and appe</w:t>
            </w:r>
            <w:r w:rsidR="008E389E">
              <w:t xml:space="preserve">al of </w:t>
            </w:r>
            <w:r w:rsidR="00286E01">
              <w:t xml:space="preserve">the </w:t>
            </w:r>
            <w:r w:rsidR="008E389E">
              <w:t>emergency order.</w:t>
            </w:r>
          </w:p>
          <w:p w14:paraId="2A69C0A5" w14:textId="2FB26F79" w:rsidR="008E389E" w:rsidRDefault="008E389E" w:rsidP="00F71939">
            <w:pPr>
              <w:pStyle w:val="Header"/>
              <w:jc w:val="both"/>
            </w:pPr>
          </w:p>
          <w:p w14:paraId="08872121" w14:textId="58C932D7" w:rsidR="005A407E" w:rsidRDefault="005E68CF" w:rsidP="00F71939">
            <w:pPr>
              <w:pStyle w:val="Header"/>
              <w:jc w:val="both"/>
            </w:pPr>
            <w:r>
              <w:t>H.B. 1550</w:t>
            </w:r>
            <w:r w:rsidR="00A044C4">
              <w:t xml:space="preserve"> establishes a 17-member panel </w:t>
            </w:r>
            <w:r w:rsidR="00A044C4" w:rsidRPr="00A044C4">
              <w:t xml:space="preserve">to study </w:t>
            </w:r>
            <w:r w:rsidR="005D6CD5">
              <w:t xml:space="preserve">and make recommendations regarding </w:t>
            </w:r>
            <w:r w:rsidR="00A044C4" w:rsidRPr="00A044C4">
              <w:t xml:space="preserve">the regulation </w:t>
            </w:r>
            <w:r w:rsidR="00C218D4">
              <w:t xml:space="preserve">of </w:t>
            </w:r>
            <w:r>
              <w:t>persons licensed as law enforcement officers</w:t>
            </w:r>
            <w:r w:rsidR="00A044C4" w:rsidRPr="00A044C4">
              <w:t xml:space="preserve"> and the entities authorized</w:t>
            </w:r>
            <w:r w:rsidR="00A044C4">
              <w:t xml:space="preserve"> by law to employ those persons.</w:t>
            </w:r>
            <w:r>
              <w:t xml:space="preserve"> The bill sets out the composition of the panel, which includes the following:</w:t>
            </w:r>
          </w:p>
          <w:p w14:paraId="6B6B3FBC" w14:textId="0DE22A95" w:rsidR="008E389E" w:rsidRDefault="005E68CF" w:rsidP="00F71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nine members who are knowledgeable on criminal jus</w:t>
            </w:r>
            <w:r>
              <w:t>tice matters, with three members each appointed by the governor, lieutenant governor, and speaker of the house of representatives</w:t>
            </w:r>
            <w:r w:rsidR="00E72267">
              <w:t xml:space="preserve"> in accordance with certain requirements</w:t>
            </w:r>
            <w:r>
              <w:t>;</w:t>
            </w:r>
          </w:p>
          <w:p w14:paraId="30EDD9EC" w14:textId="3EAC3B2E" w:rsidR="005A407E" w:rsidRDefault="005E68CF" w:rsidP="00F71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three public members, with one member each app</w:t>
            </w:r>
            <w:r w:rsidR="00E72267">
              <w:t>ointed by the governor, lieutenant governor, and speaker;</w:t>
            </w:r>
          </w:p>
          <w:p w14:paraId="706732F1" w14:textId="50DFB173" w:rsidR="00E72267" w:rsidRDefault="005E68CF" w:rsidP="00F71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chairs of the applicable standing legislative committees;</w:t>
            </w:r>
          </w:p>
          <w:p w14:paraId="30A77281" w14:textId="6960B95C" w:rsidR="00E72267" w:rsidRDefault="005E68CF" w:rsidP="00F71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chair of the board of the Texas District and County Attorney's Association or the chair's designee; and</w:t>
            </w:r>
          </w:p>
          <w:p w14:paraId="3EB3E41A" w14:textId="69A45FFB" w:rsidR="00E72267" w:rsidRDefault="005E68CF" w:rsidP="00F71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as nonvoting members, the TCOLE executive director and the attorney</w:t>
            </w:r>
            <w:r>
              <w:t xml:space="preserve"> general or the attorney general's designee.</w:t>
            </w:r>
          </w:p>
          <w:p w14:paraId="620304A9" w14:textId="48E2DD48" w:rsidR="00E72267" w:rsidRDefault="005E68CF" w:rsidP="00F71939">
            <w:pPr>
              <w:pStyle w:val="Header"/>
              <w:jc w:val="both"/>
            </w:pPr>
            <w:r>
              <w:t>The bill requires the appointments to the panel to be made not later than September 1, 2021.</w:t>
            </w:r>
          </w:p>
          <w:p w14:paraId="3B5D35AA" w14:textId="02A02095" w:rsidR="00E72267" w:rsidRDefault="00E72267" w:rsidP="00F71939">
            <w:pPr>
              <w:pStyle w:val="Header"/>
              <w:jc w:val="both"/>
            </w:pPr>
          </w:p>
          <w:p w14:paraId="7F1536DC" w14:textId="77777777" w:rsidR="00E72267" w:rsidRDefault="005E68CF" w:rsidP="00F71939">
            <w:pPr>
              <w:pStyle w:val="Header"/>
              <w:jc w:val="both"/>
            </w:pPr>
            <w:r>
              <w:t>H.B. 1550 does the following with respect to the panel:</w:t>
            </w:r>
          </w:p>
          <w:p w14:paraId="7C045FD7" w14:textId="77777777" w:rsidR="00451502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requires the governor to designate the panel's chair and vice</w:t>
            </w:r>
            <w:r>
              <w:t xml:space="preserve"> chair and requires the panel to meet at the call of the chair;</w:t>
            </w:r>
          </w:p>
          <w:p w14:paraId="540E9699" w14:textId="428976B2" w:rsidR="00E72267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authorizes the panel to establish advisory committees to assist </w:t>
            </w:r>
            <w:r w:rsidR="00C218D4">
              <w:t>with</w:t>
            </w:r>
            <w:r>
              <w:t xml:space="preserve"> its duties;</w:t>
            </w:r>
          </w:p>
          <w:p w14:paraId="2C45159E" w14:textId="77777777" w:rsidR="00A80D00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regarding meetings:</w:t>
            </w:r>
          </w:p>
          <w:p w14:paraId="4D82BC2C" w14:textId="11A64F8F" w:rsidR="00E72267" w:rsidRDefault="005E68CF" w:rsidP="00F71939">
            <w:pPr>
              <w:pStyle w:val="Header"/>
              <w:numPr>
                <w:ilvl w:val="1"/>
                <w:numId w:val="4"/>
              </w:numPr>
              <w:jc w:val="both"/>
            </w:pPr>
            <w:r>
              <w:t>subjects the panel and any established advisory committees to state open meetings law;</w:t>
            </w:r>
          </w:p>
          <w:p w14:paraId="3446C9C9" w14:textId="19F87FB6" w:rsidR="00A80D00" w:rsidRDefault="005E68CF" w:rsidP="00F71939">
            <w:pPr>
              <w:pStyle w:val="Header"/>
              <w:numPr>
                <w:ilvl w:val="1"/>
                <w:numId w:val="4"/>
              </w:numPr>
              <w:jc w:val="both"/>
            </w:pPr>
            <w:r>
              <w:t>prov</w:t>
            </w:r>
            <w:r>
              <w:t>ides for meeting</w:t>
            </w:r>
            <w:r w:rsidR="00FA7DB1">
              <w:t>s</w:t>
            </w:r>
            <w:r>
              <w:t xml:space="preserve"> by telecommunication methods; and</w:t>
            </w:r>
          </w:p>
          <w:p w14:paraId="51B0DED8" w14:textId="12082F3C" w:rsidR="00A80D00" w:rsidRDefault="005E68CF" w:rsidP="00F71939">
            <w:pPr>
              <w:pStyle w:val="Header"/>
              <w:numPr>
                <w:ilvl w:val="1"/>
                <w:numId w:val="4"/>
              </w:numPr>
              <w:jc w:val="both"/>
            </w:pPr>
            <w:r>
              <w:t>requires the panel to hold a public hearing at least once every month to solicit testimony and provide information to the public regarding the panel's work;</w:t>
            </w:r>
          </w:p>
          <w:p w14:paraId="5F08BCEE" w14:textId="066C6A29" w:rsidR="00A80D00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makes certain panel documents confidential and </w:t>
            </w:r>
            <w:r>
              <w:t>not subject to disclosure under state public information law;</w:t>
            </w:r>
          </w:p>
          <w:p w14:paraId="08314BEA" w14:textId="6D482788" w:rsidR="00A80D00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grants the panel subpoena power to compel the production of certain documents and the attendance of a witness for examination under oath and authorizes the panel, acting through the attorney gen</w:t>
            </w:r>
            <w:r>
              <w:t>eral, to bring an action to enforce the subpoena;</w:t>
            </w:r>
          </w:p>
          <w:p w14:paraId="2E5390D2" w14:textId="3572BC1E" w:rsidR="00A80D00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provides for the reimbursement of a panel member for travel and other re</w:t>
            </w:r>
            <w:r w:rsidR="007D180B">
              <w:t>asonable and necessary expenses; and</w:t>
            </w:r>
          </w:p>
          <w:p w14:paraId="0DA78C17" w14:textId="7AFB8112" w:rsidR="007D180B" w:rsidRDefault="005E68CF" w:rsidP="00F71939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requires TCOLE to provide facilities and administrative support as reasonable necessary for the p</w:t>
            </w:r>
            <w:r>
              <w:t>anel to carry out its duties.</w:t>
            </w:r>
          </w:p>
          <w:p w14:paraId="5D2B6F2D" w14:textId="713244F2" w:rsidR="00A80D00" w:rsidRDefault="00A80D00" w:rsidP="00F71939">
            <w:pPr>
              <w:pStyle w:val="Header"/>
              <w:jc w:val="both"/>
            </w:pPr>
          </w:p>
          <w:p w14:paraId="5AA2AA63" w14:textId="1C7FF230" w:rsidR="007F283F" w:rsidRDefault="005E68CF" w:rsidP="00F71939">
            <w:pPr>
              <w:pStyle w:val="Header"/>
              <w:jc w:val="both"/>
            </w:pPr>
            <w:r>
              <w:t xml:space="preserve">H.B. 1550 requires the panel as part of its study and recommendations to </w:t>
            </w:r>
            <w:r w:rsidR="00696BA5">
              <w:t>consider</w:t>
            </w:r>
            <w:r>
              <w:t xml:space="preserve"> issues relating to</w:t>
            </w:r>
            <w:r w:rsidR="003868A8">
              <w:t xml:space="preserve"> </w:t>
            </w:r>
            <w:r>
              <w:t>the following:</w:t>
            </w:r>
          </w:p>
          <w:p w14:paraId="025B1DF9" w14:textId="20EAFADB" w:rsidR="007F283F" w:rsidRDefault="005E68CF" w:rsidP="00FD6390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standards of conduct applicable to persons licensed as law enforcement officers</w:t>
            </w:r>
            <w:r w:rsidR="00A97774">
              <w:t>;</w:t>
            </w:r>
          </w:p>
          <w:p w14:paraId="71A66F29" w14:textId="130698B9" w:rsidR="00A97774" w:rsidRDefault="005E68CF" w:rsidP="00FD6390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education and training requi</w:t>
            </w:r>
            <w:r>
              <w:t>rements;</w:t>
            </w:r>
          </w:p>
          <w:p w14:paraId="23D41E97" w14:textId="75A013F8" w:rsidR="00A97774" w:rsidRDefault="005E68CF" w:rsidP="00FD6390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TCOLE's regulation of training programs and schools; and</w:t>
            </w:r>
          </w:p>
          <w:p w14:paraId="4EBEE412" w14:textId="2DCCC737" w:rsidR="00A97774" w:rsidRDefault="005E68CF" w:rsidP="00FD6390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public accountability for persons licensed as law enforcement officers and </w:t>
            </w:r>
            <w:r w:rsidRPr="00A044C4">
              <w:t>the entities authorized</w:t>
            </w:r>
            <w:r>
              <w:t xml:space="preserve"> by law to employ those persons, including:</w:t>
            </w:r>
          </w:p>
          <w:p w14:paraId="396BC2C6" w14:textId="7278676C" w:rsidR="00A97774" w:rsidRDefault="005E68CF" w:rsidP="00FD6390">
            <w:pPr>
              <w:pStyle w:val="Header"/>
              <w:numPr>
                <w:ilvl w:val="1"/>
                <w:numId w:val="6"/>
              </w:numPr>
              <w:jc w:val="both"/>
            </w:pPr>
            <w:r>
              <w:t>the need for statewide standards applicable to t</w:t>
            </w:r>
            <w:r>
              <w:t>hose entities and who should develop, review, and update those standards;</w:t>
            </w:r>
          </w:p>
          <w:p w14:paraId="102499C4" w14:textId="04814F79" w:rsidR="00A97774" w:rsidRDefault="005E68CF" w:rsidP="00FD6390">
            <w:pPr>
              <w:pStyle w:val="Header"/>
              <w:numPr>
                <w:ilvl w:val="1"/>
                <w:numId w:val="6"/>
              </w:numPr>
              <w:jc w:val="both"/>
            </w:pPr>
            <w:r>
              <w:t>changes to TCOLE's authority to discipline a license holder for violations or misconduct;</w:t>
            </w:r>
          </w:p>
          <w:p w14:paraId="6FD29ACA" w14:textId="773E887D" w:rsidR="00A97774" w:rsidRDefault="005E68CF" w:rsidP="00FD6390">
            <w:pPr>
              <w:pStyle w:val="Header"/>
              <w:numPr>
                <w:ilvl w:val="1"/>
                <w:numId w:val="6"/>
              </w:numPr>
              <w:jc w:val="both"/>
            </w:pPr>
            <w:r>
              <w:t>appropriate procedures to protect a license holder's rights during disciplinary proceedings;</w:t>
            </w:r>
            <w:r>
              <w:t xml:space="preserve"> and</w:t>
            </w:r>
          </w:p>
          <w:p w14:paraId="350710BB" w14:textId="5DDA8336" w:rsidR="00A97774" w:rsidRDefault="005E68CF" w:rsidP="00FD6390">
            <w:pPr>
              <w:pStyle w:val="Header"/>
              <w:numPr>
                <w:ilvl w:val="1"/>
                <w:numId w:val="6"/>
              </w:numPr>
              <w:jc w:val="both"/>
            </w:pPr>
            <w:r>
              <w:t>the reporting of terminations.</w:t>
            </w:r>
          </w:p>
          <w:p w14:paraId="308BF45F" w14:textId="737ADC53" w:rsidR="005D6CD5" w:rsidRPr="009C36CD" w:rsidRDefault="005E68CF" w:rsidP="00F71939">
            <w:pPr>
              <w:pStyle w:val="Header"/>
              <w:jc w:val="both"/>
            </w:pPr>
            <w:r>
              <w:t xml:space="preserve">The bill requires the panel, not later than June 1, 2022, to deliver a report to the </w:t>
            </w:r>
            <w:r w:rsidRPr="005D6CD5">
              <w:t>governor, lieutenant governor, speaker, each member of the legislature, and the Sunset Advisory Commission on the areas of study</w:t>
            </w:r>
            <w:r>
              <w:t>, inclu</w:t>
            </w:r>
            <w:r>
              <w:t xml:space="preserve">ding any recommendations </w:t>
            </w:r>
            <w:r w:rsidR="00D011FF">
              <w:t xml:space="preserve">to the legislature </w:t>
            </w:r>
            <w:r>
              <w:t>adopted by the panel. A recommendation</w:t>
            </w:r>
            <w:r w:rsidR="00D011FF">
              <w:t xml:space="preserve"> to the legislature</w:t>
            </w:r>
            <w:r>
              <w:t xml:space="preserve"> may be adopted by majority vote of a quorum of the panel, but the report may be issued </w:t>
            </w:r>
            <w:r w:rsidR="00696BA5">
              <w:t xml:space="preserve">only </w:t>
            </w:r>
            <w:r>
              <w:t>if adopted by a two-thirds vote of the panel's total membershi</w:t>
            </w:r>
            <w:r>
              <w:t>p. The panel is abolished and the related bill provisions expire December 31, 2022.</w:t>
            </w:r>
          </w:p>
          <w:p w14:paraId="1D8C99E9" w14:textId="77777777" w:rsidR="008423E4" w:rsidRPr="00EF0CCC" w:rsidRDefault="008423E4" w:rsidP="00F71939">
            <w:pPr>
              <w:rPr>
                <w:b/>
                <w:sz w:val="22"/>
              </w:rPr>
            </w:pPr>
          </w:p>
        </w:tc>
      </w:tr>
      <w:tr w:rsidR="006465E2" w14:paraId="1CAA46E9" w14:textId="77777777" w:rsidTr="00345119">
        <w:tc>
          <w:tcPr>
            <w:tcW w:w="9576" w:type="dxa"/>
          </w:tcPr>
          <w:p w14:paraId="34647B59" w14:textId="77777777" w:rsidR="008423E4" w:rsidRPr="00A8133F" w:rsidRDefault="005E68CF" w:rsidP="00F719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DCD908" w14:textId="77777777" w:rsidR="008423E4" w:rsidRPr="00EF0CCC" w:rsidRDefault="008423E4" w:rsidP="00F71939">
            <w:pPr>
              <w:rPr>
                <w:sz w:val="22"/>
              </w:rPr>
            </w:pPr>
          </w:p>
          <w:p w14:paraId="54495763" w14:textId="2BCCC248" w:rsidR="008423E4" w:rsidRPr="00EF0CCC" w:rsidRDefault="005E68CF" w:rsidP="00EF0C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B6F193B" w14:textId="77777777" w:rsidR="008423E4" w:rsidRPr="00EF0CCC" w:rsidRDefault="008423E4" w:rsidP="00F71939">
      <w:pPr>
        <w:jc w:val="both"/>
        <w:rPr>
          <w:rFonts w:ascii="Arial" w:hAnsi="Arial"/>
          <w:sz w:val="2"/>
          <w:szCs w:val="2"/>
        </w:rPr>
      </w:pPr>
    </w:p>
    <w:sectPr w:rsidR="008423E4" w:rsidRPr="00EF0CC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2CA7" w14:textId="77777777" w:rsidR="00000000" w:rsidRDefault="005E68CF">
      <w:r>
        <w:separator/>
      </w:r>
    </w:p>
  </w:endnote>
  <w:endnote w:type="continuationSeparator" w:id="0">
    <w:p w14:paraId="2596ED8D" w14:textId="77777777" w:rsidR="00000000" w:rsidRDefault="005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1976" w14:textId="77777777" w:rsidR="00C7416B" w:rsidRDefault="00C74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65E2" w14:paraId="3DABC16A" w14:textId="77777777" w:rsidTr="009C1E9A">
      <w:trPr>
        <w:cantSplit/>
      </w:trPr>
      <w:tc>
        <w:tcPr>
          <w:tcW w:w="0" w:type="pct"/>
        </w:tcPr>
        <w:p w14:paraId="14CE93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0964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658A8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80B0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F13C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5E2" w14:paraId="7E8089C3" w14:textId="77777777" w:rsidTr="009C1E9A">
      <w:trPr>
        <w:cantSplit/>
      </w:trPr>
      <w:tc>
        <w:tcPr>
          <w:tcW w:w="0" w:type="pct"/>
        </w:tcPr>
        <w:p w14:paraId="0127C6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E73E3D" w14:textId="56B78D09" w:rsidR="00EC379B" w:rsidRPr="009C1E9A" w:rsidRDefault="005E68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19999</w:t>
          </w:r>
        </w:p>
      </w:tc>
      <w:tc>
        <w:tcPr>
          <w:tcW w:w="2453" w:type="pct"/>
        </w:tcPr>
        <w:p w14:paraId="5B4B9ADA" w14:textId="2131C59A" w:rsidR="00EC379B" w:rsidRDefault="005E68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D6390">
            <w:t>21.104.384</w:t>
          </w:r>
          <w:r>
            <w:fldChar w:fldCharType="end"/>
          </w:r>
        </w:p>
      </w:tc>
    </w:tr>
    <w:tr w:rsidR="006465E2" w14:paraId="36B01B06" w14:textId="77777777" w:rsidTr="009C1E9A">
      <w:trPr>
        <w:cantSplit/>
      </w:trPr>
      <w:tc>
        <w:tcPr>
          <w:tcW w:w="0" w:type="pct"/>
        </w:tcPr>
        <w:p w14:paraId="2432059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0E109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9FE97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CC6E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5E2" w14:paraId="286AF2B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097E9D" w14:textId="41D2D5D7" w:rsidR="00EC379B" w:rsidRDefault="005E68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F0C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4B00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EF524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FF6F" w14:textId="77777777" w:rsidR="00C7416B" w:rsidRDefault="00C74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3449" w14:textId="77777777" w:rsidR="00000000" w:rsidRDefault="005E68CF">
      <w:r>
        <w:separator/>
      </w:r>
    </w:p>
  </w:footnote>
  <w:footnote w:type="continuationSeparator" w:id="0">
    <w:p w14:paraId="4AC2F8AE" w14:textId="77777777" w:rsidR="00000000" w:rsidRDefault="005E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70DF" w14:textId="77777777" w:rsidR="00C7416B" w:rsidRDefault="00C74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461D" w14:textId="77777777" w:rsidR="00C7416B" w:rsidRDefault="00C74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75C6" w14:textId="77777777" w:rsidR="00C7416B" w:rsidRDefault="00C74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135"/>
    <w:multiLevelType w:val="hybridMultilevel"/>
    <w:tmpl w:val="09A2C6F6"/>
    <w:lvl w:ilvl="0" w:tplc="915A9D12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583EC162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6108D984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5C2D89E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9D7E6C5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93500032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54ADFD4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84367CB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BF18753E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F6229FE"/>
    <w:multiLevelType w:val="hybridMultilevel"/>
    <w:tmpl w:val="69D0ACB4"/>
    <w:lvl w:ilvl="0" w:tplc="616E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8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CF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B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E7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40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0B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4961"/>
    <w:multiLevelType w:val="hybridMultilevel"/>
    <w:tmpl w:val="9A042C06"/>
    <w:lvl w:ilvl="0" w:tplc="4ACAA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82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45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8D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A0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8C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E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A8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696"/>
    <w:multiLevelType w:val="hybridMultilevel"/>
    <w:tmpl w:val="C172BACA"/>
    <w:lvl w:ilvl="0" w:tplc="1C82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0A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4A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3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00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45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C0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E8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6E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313"/>
    <w:multiLevelType w:val="hybridMultilevel"/>
    <w:tmpl w:val="56E4FBD2"/>
    <w:lvl w:ilvl="0" w:tplc="46163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45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C9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4D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D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60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8B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8C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2A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6E72"/>
    <w:multiLevelType w:val="hybridMultilevel"/>
    <w:tmpl w:val="9048B58E"/>
    <w:lvl w:ilvl="0" w:tplc="BCC6A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1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87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E5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8C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8D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03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A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3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BF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4B5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875"/>
    <w:rsid w:val="00087747"/>
    <w:rsid w:val="00090E6B"/>
    <w:rsid w:val="00091B2C"/>
    <w:rsid w:val="00092ABC"/>
    <w:rsid w:val="00097AAF"/>
    <w:rsid w:val="00097D13"/>
    <w:rsid w:val="000A4893"/>
    <w:rsid w:val="000A54E0"/>
    <w:rsid w:val="000A6DEC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5A6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55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AAB"/>
    <w:rsid w:val="00286E0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C06"/>
    <w:rsid w:val="002C1C17"/>
    <w:rsid w:val="002C3203"/>
    <w:rsid w:val="002C3B07"/>
    <w:rsid w:val="002C532B"/>
    <w:rsid w:val="002C5713"/>
    <w:rsid w:val="002D05CC"/>
    <w:rsid w:val="002D305A"/>
    <w:rsid w:val="002E08E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A55"/>
    <w:rsid w:val="003305F5"/>
    <w:rsid w:val="00333930"/>
    <w:rsid w:val="00336BA4"/>
    <w:rsid w:val="00336C7A"/>
    <w:rsid w:val="00337392"/>
    <w:rsid w:val="00337659"/>
    <w:rsid w:val="0034225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8A8"/>
    <w:rsid w:val="0038731D"/>
    <w:rsid w:val="00387B60"/>
    <w:rsid w:val="00390098"/>
    <w:rsid w:val="00392DA1"/>
    <w:rsid w:val="00393718"/>
    <w:rsid w:val="003A016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A0F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D44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CD2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502"/>
    <w:rsid w:val="00451D7C"/>
    <w:rsid w:val="00452FC3"/>
    <w:rsid w:val="004557D4"/>
    <w:rsid w:val="00455936"/>
    <w:rsid w:val="00455ACE"/>
    <w:rsid w:val="00461B69"/>
    <w:rsid w:val="00462B3D"/>
    <w:rsid w:val="00466CC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343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277"/>
    <w:rsid w:val="005847EF"/>
    <w:rsid w:val="005851E6"/>
    <w:rsid w:val="005878B7"/>
    <w:rsid w:val="00592C9A"/>
    <w:rsid w:val="00593DF8"/>
    <w:rsid w:val="00595745"/>
    <w:rsid w:val="00596F1A"/>
    <w:rsid w:val="005A0E18"/>
    <w:rsid w:val="005A12A5"/>
    <w:rsid w:val="005A3790"/>
    <w:rsid w:val="005A3CCB"/>
    <w:rsid w:val="005A407E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CD5"/>
    <w:rsid w:val="005D767D"/>
    <w:rsid w:val="005D7A30"/>
    <w:rsid w:val="005D7AEB"/>
    <w:rsid w:val="005D7D3B"/>
    <w:rsid w:val="005E06F5"/>
    <w:rsid w:val="005E1999"/>
    <w:rsid w:val="005E232C"/>
    <w:rsid w:val="005E2B83"/>
    <w:rsid w:val="005E2D04"/>
    <w:rsid w:val="005E4AEB"/>
    <w:rsid w:val="005E68CF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7D8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5E2"/>
    <w:rsid w:val="00650692"/>
    <w:rsid w:val="006508D3"/>
    <w:rsid w:val="00650AFA"/>
    <w:rsid w:val="00652EB6"/>
    <w:rsid w:val="00655A92"/>
    <w:rsid w:val="00662B77"/>
    <w:rsid w:val="00662D0E"/>
    <w:rsid w:val="00663265"/>
    <w:rsid w:val="0066345F"/>
    <w:rsid w:val="0066485B"/>
    <w:rsid w:val="00666A26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BA5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7A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6BB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80B"/>
    <w:rsid w:val="007D2892"/>
    <w:rsid w:val="007D2DCC"/>
    <w:rsid w:val="007D47E1"/>
    <w:rsid w:val="007D5CEC"/>
    <w:rsid w:val="007D7FCB"/>
    <w:rsid w:val="007E33B6"/>
    <w:rsid w:val="007E59E8"/>
    <w:rsid w:val="007F283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B7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EA4"/>
    <w:rsid w:val="008C3FD0"/>
    <w:rsid w:val="008D1070"/>
    <w:rsid w:val="008D27A5"/>
    <w:rsid w:val="008D2AAB"/>
    <w:rsid w:val="008D309C"/>
    <w:rsid w:val="008D58F9"/>
    <w:rsid w:val="008E3338"/>
    <w:rsid w:val="008E389E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A83"/>
    <w:rsid w:val="00907780"/>
    <w:rsid w:val="00907EDD"/>
    <w:rsid w:val="009101A7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56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75B"/>
    <w:rsid w:val="009642E6"/>
    <w:rsid w:val="0096482F"/>
    <w:rsid w:val="00964E3A"/>
    <w:rsid w:val="00967126"/>
    <w:rsid w:val="00970EAE"/>
    <w:rsid w:val="00971627"/>
    <w:rsid w:val="00972797"/>
    <w:rsid w:val="0097279D"/>
    <w:rsid w:val="00976837"/>
    <w:rsid w:val="00977C04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AE8"/>
    <w:rsid w:val="009D4BBD"/>
    <w:rsid w:val="009D5A41"/>
    <w:rsid w:val="009E13BF"/>
    <w:rsid w:val="009E3631"/>
    <w:rsid w:val="009E3EB9"/>
    <w:rsid w:val="009E69C2"/>
    <w:rsid w:val="009E70AF"/>
    <w:rsid w:val="009E75B8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4C4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E40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D00"/>
    <w:rsid w:val="00A8133F"/>
    <w:rsid w:val="00A82CB4"/>
    <w:rsid w:val="00A837A8"/>
    <w:rsid w:val="00A83C36"/>
    <w:rsid w:val="00A932BB"/>
    <w:rsid w:val="00A93579"/>
    <w:rsid w:val="00A93934"/>
    <w:rsid w:val="00A95D51"/>
    <w:rsid w:val="00A9679C"/>
    <w:rsid w:val="00A97774"/>
    <w:rsid w:val="00AA18AE"/>
    <w:rsid w:val="00AA228B"/>
    <w:rsid w:val="00AA458A"/>
    <w:rsid w:val="00AA597A"/>
    <w:rsid w:val="00AA7E52"/>
    <w:rsid w:val="00AB1655"/>
    <w:rsid w:val="00AB1873"/>
    <w:rsid w:val="00AB2C05"/>
    <w:rsid w:val="00AB3536"/>
    <w:rsid w:val="00AB474B"/>
    <w:rsid w:val="00AB5CCC"/>
    <w:rsid w:val="00AB7223"/>
    <w:rsid w:val="00AB74E2"/>
    <w:rsid w:val="00AC2E9A"/>
    <w:rsid w:val="00AC5AAB"/>
    <w:rsid w:val="00AC5AEC"/>
    <w:rsid w:val="00AC5F28"/>
    <w:rsid w:val="00AC629A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8BD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13D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1DC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B3B"/>
    <w:rsid w:val="00C119AC"/>
    <w:rsid w:val="00C14EE6"/>
    <w:rsid w:val="00C151DA"/>
    <w:rsid w:val="00C152A1"/>
    <w:rsid w:val="00C16CCB"/>
    <w:rsid w:val="00C2142B"/>
    <w:rsid w:val="00C218D4"/>
    <w:rsid w:val="00C22527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16B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5B3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5E8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1FF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3DF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F90"/>
    <w:rsid w:val="00DD128C"/>
    <w:rsid w:val="00DD1B8F"/>
    <w:rsid w:val="00DD1F4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EF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267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941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CCC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E8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939"/>
    <w:rsid w:val="00F71C5A"/>
    <w:rsid w:val="00F733A4"/>
    <w:rsid w:val="00F7758F"/>
    <w:rsid w:val="00F82811"/>
    <w:rsid w:val="00F84153"/>
    <w:rsid w:val="00F85661"/>
    <w:rsid w:val="00F965C6"/>
    <w:rsid w:val="00F96602"/>
    <w:rsid w:val="00F9735A"/>
    <w:rsid w:val="00FA32FC"/>
    <w:rsid w:val="00FA4516"/>
    <w:rsid w:val="00FA59FD"/>
    <w:rsid w:val="00FA5D8C"/>
    <w:rsid w:val="00FA6403"/>
    <w:rsid w:val="00FA7DB1"/>
    <w:rsid w:val="00FB16CD"/>
    <w:rsid w:val="00FB73AE"/>
    <w:rsid w:val="00FC0C40"/>
    <w:rsid w:val="00FC3FD3"/>
    <w:rsid w:val="00FC5388"/>
    <w:rsid w:val="00FC726C"/>
    <w:rsid w:val="00FD1B4B"/>
    <w:rsid w:val="00FD1B94"/>
    <w:rsid w:val="00FD639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C5D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CEB2FA-E410-48EA-B9C7-40EF6F4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45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5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8526</Characters>
  <Application>Microsoft Office Word</Application>
  <DocSecurity>4</DocSecurity>
  <Lines>165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HB01550 (Committee Report (Unamended))</vt:lpstr>
    </vt:vector>
  </TitlesOfParts>
  <Company>State of Texas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19999</dc:subject>
  <dc:creator>State of Texas</dc:creator>
  <dc:description>HB 1550 by Cyrier-(H)Homeland Security &amp; Public Safety</dc:description>
  <cp:lastModifiedBy>Damian Duarte</cp:lastModifiedBy>
  <cp:revision>2</cp:revision>
  <cp:lastPrinted>2003-11-26T17:21:00Z</cp:lastPrinted>
  <dcterms:created xsi:type="dcterms:W3CDTF">2021-04-14T15:50:00Z</dcterms:created>
  <dcterms:modified xsi:type="dcterms:W3CDTF">2021-04-14T15:50:00Z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21.104.384</vt:lpwstr>
  </property>
</Properties>
</file>