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723F3" w14:paraId="1DF7B400" w14:textId="77777777" w:rsidTr="00345119">
        <w:tc>
          <w:tcPr>
            <w:tcW w:w="9576" w:type="dxa"/>
            <w:noWrap/>
          </w:tcPr>
          <w:p w14:paraId="78D1A6C4" w14:textId="77777777" w:rsidR="008423E4" w:rsidRPr="0022177D" w:rsidRDefault="00327BA9" w:rsidP="000A3011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2C13526" w14:textId="77777777" w:rsidR="008423E4" w:rsidRPr="0022177D" w:rsidRDefault="008423E4" w:rsidP="000A3011">
      <w:pPr>
        <w:jc w:val="center"/>
      </w:pPr>
    </w:p>
    <w:p w14:paraId="0920C1C8" w14:textId="77777777" w:rsidR="008423E4" w:rsidRPr="00B31F0E" w:rsidRDefault="008423E4" w:rsidP="000A3011"/>
    <w:p w14:paraId="48B6DA5E" w14:textId="77777777" w:rsidR="008423E4" w:rsidRPr="00742794" w:rsidRDefault="008423E4" w:rsidP="000A301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723F3" w14:paraId="2D77B56C" w14:textId="77777777" w:rsidTr="00345119">
        <w:tc>
          <w:tcPr>
            <w:tcW w:w="9576" w:type="dxa"/>
          </w:tcPr>
          <w:p w14:paraId="29E41148" w14:textId="0C5AD68B" w:rsidR="008423E4" w:rsidRPr="00861995" w:rsidRDefault="00327BA9" w:rsidP="000A3011">
            <w:pPr>
              <w:jc w:val="right"/>
            </w:pPr>
            <w:r>
              <w:t>C.S.H.B. 1572</w:t>
            </w:r>
          </w:p>
        </w:tc>
      </w:tr>
      <w:tr w:rsidR="006723F3" w14:paraId="623CB053" w14:textId="77777777" w:rsidTr="00345119">
        <w:tc>
          <w:tcPr>
            <w:tcW w:w="9576" w:type="dxa"/>
          </w:tcPr>
          <w:p w14:paraId="6477C7E6" w14:textId="06237AD4" w:rsidR="008423E4" w:rsidRPr="00861995" w:rsidRDefault="00327BA9" w:rsidP="001424FB">
            <w:pPr>
              <w:jc w:val="right"/>
            </w:pPr>
            <w:r>
              <w:t xml:space="preserve">By: </w:t>
            </w:r>
            <w:r w:rsidR="001424FB">
              <w:t>Craddick</w:t>
            </w:r>
          </w:p>
        </w:tc>
      </w:tr>
      <w:tr w:rsidR="006723F3" w14:paraId="7466F017" w14:textId="77777777" w:rsidTr="00345119">
        <w:tc>
          <w:tcPr>
            <w:tcW w:w="9576" w:type="dxa"/>
          </w:tcPr>
          <w:p w14:paraId="4D453DF6" w14:textId="2EC6193D" w:rsidR="008423E4" w:rsidRPr="00861995" w:rsidRDefault="00327BA9" w:rsidP="000A3011">
            <w:pPr>
              <w:jc w:val="right"/>
            </w:pPr>
            <w:r>
              <w:t>State Affairs</w:t>
            </w:r>
          </w:p>
        </w:tc>
      </w:tr>
      <w:tr w:rsidR="006723F3" w14:paraId="50FC6875" w14:textId="77777777" w:rsidTr="00345119">
        <w:tc>
          <w:tcPr>
            <w:tcW w:w="9576" w:type="dxa"/>
          </w:tcPr>
          <w:p w14:paraId="2C158783" w14:textId="2FDB0CAB" w:rsidR="008423E4" w:rsidRDefault="00327BA9" w:rsidP="000A3011">
            <w:pPr>
              <w:jc w:val="right"/>
            </w:pPr>
            <w:r>
              <w:t>Committee Report (Substituted)</w:t>
            </w:r>
          </w:p>
        </w:tc>
      </w:tr>
    </w:tbl>
    <w:p w14:paraId="7E402F5C" w14:textId="77777777" w:rsidR="008423E4" w:rsidRDefault="008423E4" w:rsidP="000A3011">
      <w:pPr>
        <w:tabs>
          <w:tab w:val="right" w:pos="9360"/>
        </w:tabs>
      </w:pPr>
    </w:p>
    <w:p w14:paraId="7F65DAF9" w14:textId="77777777" w:rsidR="008423E4" w:rsidRDefault="008423E4" w:rsidP="000A3011"/>
    <w:p w14:paraId="018E7AB9" w14:textId="77777777" w:rsidR="008423E4" w:rsidRDefault="008423E4" w:rsidP="000A301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723F3" w14:paraId="227B7406" w14:textId="77777777" w:rsidTr="00345119">
        <w:tc>
          <w:tcPr>
            <w:tcW w:w="9576" w:type="dxa"/>
          </w:tcPr>
          <w:p w14:paraId="5206ACD9" w14:textId="77777777" w:rsidR="008423E4" w:rsidRPr="00A8133F" w:rsidRDefault="00327BA9" w:rsidP="000A301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521F006" w14:textId="77777777" w:rsidR="008423E4" w:rsidRDefault="008423E4" w:rsidP="000A3011"/>
          <w:p w14:paraId="628C8942" w14:textId="52610591" w:rsidR="008423E4" w:rsidRDefault="00327BA9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56986">
              <w:t xml:space="preserve">There is a need from time to time </w:t>
            </w:r>
            <w:r w:rsidR="00B838E3">
              <w:t xml:space="preserve">for an entity that is unable to obtain sufficient electricity service </w:t>
            </w:r>
            <w:r w:rsidRPr="00656986">
              <w:t xml:space="preserve">to rent </w:t>
            </w:r>
            <w:r>
              <w:t>electric generation</w:t>
            </w:r>
            <w:r w:rsidRPr="00656986">
              <w:t xml:space="preserve"> equipment</w:t>
            </w:r>
            <w:r w:rsidR="000F382F">
              <w:t xml:space="preserve"> by the wattage hour</w:t>
            </w:r>
            <w:r w:rsidR="00B838E3">
              <w:t xml:space="preserve"> </w:t>
            </w:r>
            <w:r w:rsidR="00B838E3" w:rsidRPr="00937684">
              <w:t xml:space="preserve">or contract </w:t>
            </w:r>
            <w:r w:rsidR="00937684">
              <w:t>for another party</w:t>
            </w:r>
            <w:r w:rsidR="00B838E3" w:rsidRPr="00937684">
              <w:t xml:space="preserve"> to operate such equipment on-site for the contracting entity to use</w:t>
            </w:r>
            <w:r w:rsidR="000F382F">
              <w:t xml:space="preserve"> by the wattage hour</w:t>
            </w:r>
            <w:r w:rsidRPr="00937684">
              <w:t>.</w:t>
            </w:r>
            <w:r w:rsidRPr="00656986">
              <w:t xml:space="preserve"> </w:t>
            </w:r>
            <w:r w:rsidR="00B838E3">
              <w:t xml:space="preserve">This sort of transaction should not subject the lessor or operator to state regulation as an electric utility, </w:t>
            </w:r>
            <w:r w:rsidR="00B838E3" w:rsidRPr="00937684">
              <w:t>yet under current state law it could be interpreted that this is the case</w:t>
            </w:r>
            <w:r w:rsidR="00B838E3">
              <w:t>.</w:t>
            </w:r>
            <w:r w:rsidRPr="00656986">
              <w:t xml:space="preserve"> </w:t>
            </w:r>
            <w:r w:rsidR="00B838E3">
              <w:t>C.S.H.B. 1572 seeks to establish that a p</w:t>
            </w:r>
            <w:r w:rsidR="006C775A">
              <w:t xml:space="preserve">erson not otherwise considered an electric utility is not regulated as such simply for entering into </w:t>
            </w:r>
            <w:r w:rsidR="000F382F">
              <w:t>a</w:t>
            </w:r>
            <w:r w:rsidR="006C775A">
              <w:t xml:space="preserve"> transaction</w:t>
            </w:r>
            <w:r w:rsidR="000F382F">
              <w:t xml:space="preserve"> by the wattage hour</w:t>
            </w:r>
            <w:r w:rsidR="006C775A">
              <w:t>.</w:t>
            </w:r>
          </w:p>
          <w:p w14:paraId="0449E8FA" w14:textId="587A2FE7" w:rsidR="007C576E" w:rsidRPr="00E26B13" w:rsidRDefault="007C576E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723F3" w14:paraId="6E6C9836" w14:textId="77777777" w:rsidTr="00345119">
        <w:tc>
          <w:tcPr>
            <w:tcW w:w="9576" w:type="dxa"/>
          </w:tcPr>
          <w:p w14:paraId="751EBC4E" w14:textId="77777777" w:rsidR="0017725B" w:rsidRDefault="00327BA9" w:rsidP="000A301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72AEA08" w14:textId="77777777" w:rsidR="0017725B" w:rsidRDefault="0017725B" w:rsidP="000A3011">
            <w:pPr>
              <w:rPr>
                <w:b/>
                <w:u w:val="single"/>
              </w:rPr>
            </w:pPr>
          </w:p>
          <w:p w14:paraId="04610BC1" w14:textId="77777777" w:rsidR="004178B5" w:rsidRPr="004178B5" w:rsidRDefault="00327BA9" w:rsidP="000A301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</w:t>
            </w:r>
            <w:r>
              <w:t>ervision, parole, or mandatory supervision.</w:t>
            </w:r>
          </w:p>
          <w:p w14:paraId="1A0C8C3C" w14:textId="77777777" w:rsidR="0017725B" w:rsidRPr="0017725B" w:rsidRDefault="0017725B" w:rsidP="000A3011">
            <w:pPr>
              <w:rPr>
                <w:b/>
                <w:u w:val="single"/>
              </w:rPr>
            </w:pPr>
          </w:p>
        </w:tc>
      </w:tr>
      <w:tr w:rsidR="006723F3" w14:paraId="65804F26" w14:textId="77777777" w:rsidTr="00345119">
        <w:tc>
          <w:tcPr>
            <w:tcW w:w="9576" w:type="dxa"/>
          </w:tcPr>
          <w:p w14:paraId="57183538" w14:textId="77777777" w:rsidR="008423E4" w:rsidRPr="00A8133F" w:rsidRDefault="00327BA9" w:rsidP="000A301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6BE8ADF" w14:textId="77777777" w:rsidR="008423E4" w:rsidRDefault="008423E4" w:rsidP="000A3011"/>
          <w:p w14:paraId="66E26B92" w14:textId="77777777" w:rsidR="004178B5" w:rsidRDefault="00327BA9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745A2B9" w14:textId="77777777" w:rsidR="008423E4" w:rsidRPr="00E21FDC" w:rsidRDefault="008423E4" w:rsidP="000A3011">
            <w:pPr>
              <w:rPr>
                <w:b/>
              </w:rPr>
            </w:pPr>
          </w:p>
        </w:tc>
      </w:tr>
      <w:tr w:rsidR="006723F3" w14:paraId="1CDD7D45" w14:textId="77777777" w:rsidTr="00345119">
        <w:tc>
          <w:tcPr>
            <w:tcW w:w="9576" w:type="dxa"/>
          </w:tcPr>
          <w:p w14:paraId="06694AA3" w14:textId="220639C1" w:rsidR="008423E4" w:rsidRPr="00A8133F" w:rsidRDefault="00327BA9" w:rsidP="000A301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60FCED" w14:textId="77777777" w:rsidR="008423E4" w:rsidRDefault="008423E4" w:rsidP="000A3011"/>
          <w:p w14:paraId="2B4BC8D0" w14:textId="647ED669" w:rsidR="00B53F3D" w:rsidRDefault="00327BA9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03F00">
              <w:t>H.B. 1572 amends the Utilities Code to exclude from consideration as a</w:t>
            </w:r>
            <w:r w:rsidR="00573244">
              <w:t>n "electric utility"</w:t>
            </w:r>
            <w:r w:rsidR="00F03F00">
              <w:t xml:space="preserve"> for purposes of </w:t>
            </w:r>
            <w:r w:rsidR="00FE6281">
              <w:t xml:space="preserve">statutory </w:t>
            </w:r>
            <w:r w:rsidR="00656986">
              <w:t xml:space="preserve">provisions </w:t>
            </w:r>
            <w:r w:rsidR="00F03F00">
              <w:t xml:space="preserve">governing </w:t>
            </w:r>
            <w:r w:rsidR="005977F2">
              <w:t>those</w:t>
            </w:r>
            <w:r w:rsidR="00FE6281">
              <w:t xml:space="preserve"> </w:t>
            </w:r>
            <w:r w:rsidR="00F03F00">
              <w:t>utilities a</w:t>
            </w:r>
            <w:r w:rsidR="00F03F00" w:rsidRPr="00F03F00">
              <w:t xml:space="preserve"> person </w:t>
            </w:r>
            <w:r w:rsidRPr="00CA318E">
              <w:t>who</w:t>
            </w:r>
            <w:r w:rsidR="004178B5" w:rsidRPr="00CA318E">
              <w:t xml:space="preserve"> </w:t>
            </w:r>
            <w:r w:rsidR="00741611" w:rsidRPr="00CA318E">
              <w:t>is not otherwise an electric utility</w:t>
            </w:r>
            <w:r w:rsidR="00741611">
              <w:t xml:space="preserve"> and who </w:t>
            </w:r>
            <w:r w:rsidR="00F03F00" w:rsidRPr="00F03F00">
              <w:t xml:space="preserve">rents </w:t>
            </w:r>
            <w:r w:rsidR="004178B5">
              <w:t>to or</w:t>
            </w:r>
            <w:r w:rsidR="00F03F00" w:rsidRPr="00F03F00">
              <w:t xml:space="preserve"> operates </w:t>
            </w:r>
            <w:r>
              <w:t xml:space="preserve">for compensation </w:t>
            </w:r>
            <w:r w:rsidR="00F03F00" w:rsidRPr="00F03F00">
              <w:t>on behalf of a third</w:t>
            </w:r>
            <w:r w:rsidR="00CA318E">
              <w:t xml:space="preserve"> </w:t>
            </w:r>
            <w:r w:rsidR="00F03F00" w:rsidRPr="00F03F00">
              <w:t>party</w:t>
            </w:r>
            <w:r>
              <w:t xml:space="preserve"> electric generation </w:t>
            </w:r>
            <w:r w:rsidR="00F03F00" w:rsidRPr="00F03F00">
              <w:t xml:space="preserve">equipment </w:t>
            </w:r>
            <w:r>
              <w:t>that:</w:t>
            </w:r>
          </w:p>
          <w:p w14:paraId="108DFF71" w14:textId="074CB540" w:rsidR="00B53F3D" w:rsidRDefault="00327BA9" w:rsidP="000A3011">
            <w:pPr>
              <w:pStyle w:val="Header"/>
              <w:numPr>
                <w:ilvl w:val="0"/>
                <w:numId w:val="1"/>
              </w:numPr>
              <w:jc w:val="both"/>
            </w:pPr>
            <w:r w:rsidRPr="00F03F00">
              <w:t>is</w:t>
            </w:r>
            <w:r>
              <w:t xml:space="preserve"> used on a site of the third party where the third party is unable to obtain sufficient electricity service;</w:t>
            </w:r>
          </w:p>
          <w:p w14:paraId="50036B86" w14:textId="40DD3F41" w:rsidR="00741611" w:rsidRDefault="00327BA9" w:rsidP="000A301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produces electricity on site to be </w:t>
            </w:r>
            <w:r w:rsidR="00B53F3D" w:rsidRPr="00F03F00">
              <w:t>consumed by the third</w:t>
            </w:r>
            <w:r w:rsidR="00CA318E">
              <w:t xml:space="preserve"> </w:t>
            </w:r>
            <w:r w:rsidR="00B53F3D" w:rsidRPr="00F03F00">
              <w:t>party and not resold</w:t>
            </w:r>
            <w:r>
              <w:t>; and</w:t>
            </w:r>
          </w:p>
          <w:p w14:paraId="033B4962" w14:textId="77B403D1" w:rsidR="00B53F3D" w:rsidRDefault="00327BA9" w:rsidP="000A3011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does not i</w:t>
            </w:r>
            <w:r>
              <w:t>nterconnect with the electric transmission or distribution system.</w:t>
            </w:r>
            <w:r w:rsidR="00F03F00" w:rsidRPr="00F03F00">
              <w:t xml:space="preserve"> </w:t>
            </w:r>
          </w:p>
          <w:p w14:paraId="33329726" w14:textId="77777777" w:rsidR="008423E4" w:rsidRDefault="00327BA9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establishes that a</w:t>
            </w:r>
            <w:r w:rsidR="004178B5">
              <w:t xml:space="preserve"> person </w:t>
            </w:r>
            <w:r>
              <w:t>who provides such</w:t>
            </w:r>
            <w:r w:rsidR="00C33D05">
              <w:t xml:space="preserve"> rental or operation</w:t>
            </w:r>
            <w:r>
              <w:t xml:space="preserve"> services</w:t>
            </w:r>
            <w:r w:rsidR="004178B5">
              <w:t xml:space="preserve"> is not </w:t>
            </w:r>
            <w:r>
              <w:t>for that reason considered</w:t>
            </w:r>
            <w:r w:rsidR="004178B5">
              <w:t xml:space="preserve"> a </w:t>
            </w:r>
            <w:r w:rsidR="00B91C0E">
              <w:t xml:space="preserve">retail </w:t>
            </w:r>
            <w:r w:rsidR="004178B5">
              <w:t xml:space="preserve">electric utility </w:t>
            </w:r>
            <w:r w:rsidR="00656986">
              <w:t>for purposes of provisions requiring a certificate of convenience</w:t>
            </w:r>
            <w:r>
              <w:t xml:space="preserve"> and necessity</w:t>
            </w:r>
            <w:r w:rsidR="004178B5">
              <w:t>.</w:t>
            </w:r>
          </w:p>
          <w:p w14:paraId="73D3BBEE" w14:textId="34516F96" w:rsidR="009B3809" w:rsidRPr="00835628" w:rsidRDefault="009B3809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723F3" w14:paraId="1C0FD5A1" w14:textId="77777777" w:rsidTr="00345119">
        <w:tc>
          <w:tcPr>
            <w:tcW w:w="9576" w:type="dxa"/>
          </w:tcPr>
          <w:p w14:paraId="781B7171" w14:textId="77777777" w:rsidR="008423E4" w:rsidRPr="00A8133F" w:rsidRDefault="00327BA9" w:rsidP="000A301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FDBF0CA" w14:textId="77777777" w:rsidR="008423E4" w:rsidRDefault="008423E4" w:rsidP="000A3011"/>
          <w:p w14:paraId="43B14F39" w14:textId="77777777" w:rsidR="008423E4" w:rsidRPr="003624F2" w:rsidRDefault="00327BA9" w:rsidP="000A301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04390F62" w14:textId="77777777" w:rsidR="008423E4" w:rsidRPr="00233FDB" w:rsidRDefault="008423E4" w:rsidP="000A3011">
            <w:pPr>
              <w:rPr>
                <w:b/>
              </w:rPr>
            </w:pPr>
          </w:p>
        </w:tc>
      </w:tr>
      <w:tr w:rsidR="006723F3" w14:paraId="6A7143CB" w14:textId="77777777" w:rsidTr="00345119">
        <w:tc>
          <w:tcPr>
            <w:tcW w:w="9576" w:type="dxa"/>
          </w:tcPr>
          <w:p w14:paraId="0D3F999D" w14:textId="77777777" w:rsidR="001424FB" w:rsidRDefault="00327BA9" w:rsidP="001424F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3654B35A" w14:textId="6BC55AF7" w:rsidR="00B91C0E" w:rsidRPr="001424FB" w:rsidRDefault="00B91C0E" w:rsidP="001424FB">
            <w:pPr>
              <w:jc w:val="both"/>
              <w:rPr>
                <w:b/>
                <w:u w:val="single"/>
              </w:rPr>
            </w:pPr>
          </w:p>
        </w:tc>
      </w:tr>
      <w:tr w:rsidR="006723F3" w14:paraId="1187397C" w14:textId="77777777" w:rsidTr="00345119">
        <w:tc>
          <w:tcPr>
            <w:tcW w:w="9576" w:type="dxa"/>
          </w:tcPr>
          <w:p w14:paraId="2495CE51" w14:textId="77777777" w:rsidR="008535D7" w:rsidRDefault="00327BA9" w:rsidP="008535D7">
            <w:pPr>
              <w:jc w:val="both"/>
            </w:pPr>
            <w:r>
              <w:t>While C.S.H.B. 1572 may differ from the original in minor or nonsubstantive ways, the following summarizes the substantial differences</w:t>
            </w:r>
            <w:r>
              <w:t xml:space="preserve"> between the introduced and committee substitute versions of the bill.</w:t>
            </w:r>
          </w:p>
          <w:p w14:paraId="2218B9CB" w14:textId="77777777" w:rsidR="008535D7" w:rsidRDefault="008535D7" w:rsidP="008535D7">
            <w:pPr>
              <w:jc w:val="both"/>
            </w:pPr>
          </w:p>
          <w:p w14:paraId="299C5559" w14:textId="77777777" w:rsidR="008535D7" w:rsidRDefault="00327BA9" w:rsidP="008535D7">
            <w:pPr>
              <w:jc w:val="both"/>
            </w:pPr>
            <w:r w:rsidRPr="00245E72">
              <w:t xml:space="preserve">The substitute revises the necessary conditions for </w:t>
            </w:r>
            <w:r>
              <w:t>a person who</w:t>
            </w:r>
            <w:r w:rsidRPr="00245E72">
              <w:t xml:space="preserve"> rent</w:t>
            </w:r>
            <w:r>
              <w:t xml:space="preserve">s </w:t>
            </w:r>
            <w:r w:rsidRPr="00245E72">
              <w:t>certain electric equipment to a third</w:t>
            </w:r>
            <w:r>
              <w:t xml:space="preserve"> p</w:t>
            </w:r>
            <w:r w:rsidRPr="00245E72">
              <w:t xml:space="preserve">arty or </w:t>
            </w:r>
            <w:r>
              <w:t>operates</w:t>
            </w:r>
            <w:r w:rsidRPr="00245E72">
              <w:t xml:space="preserve"> the equipment on the third</w:t>
            </w:r>
            <w:r>
              <w:t xml:space="preserve"> </w:t>
            </w:r>
            <w:r w:rsidRPr="00245E72">
              <w:t xml:space="preserve">party's behalf to be excluded </w:t>
            </w:r>
            <w:r w:rsidRPr="00245E72">
              <w:t xml:space="preserve">from </w:t>
            </w:r>
            <w:r>
              <w:t>consideration</w:t>
            </w:r>
            <w:r w:rsidRPr="00245E72">
              <w:t xml:space="preserve"> as an </w:t>
            </w:r>
            <w:r>
              <w:t>"</w:t>
            </w:r>
            <w:r w:rsidRPr="00245E72">
              <w:t xml:space="preserve">electric </w:t>
            </w:r>
            <w:r>
              <w:t xml:space="preserve">utility" </w:t>
            </w:r>
            <w:r w:rsidRPr="00245E72">
              <w:t xml:space="preserve">for purposes of </w:t>
            </w:r>
            <w:r>
              <w:t xml:space="preserve">statutory </w:t>
            </w:r>
            <w:r w:rsidRPr="00245E72">
              <w:t xml:space="preserve">provisions governing </w:t>
            </w:r>
            <w:r>
              <w:t>those</w:t>
            </w:r>
            <w:r w:rsidRPr="00245E72">
              <w:t xml:space="preserve"> utilities by</w:t>
            </w:r>
            <w:r>
              <w:t xml:space="preserve"> doing the following:</w:t>
            </w:r>
          </w:p>
          <w:p w14:paraId="6D82FE70" w14:textId="77777777" w:rsidR="008535D7" w:rsidRDefault="00327BA9" w:rsidP="008535D7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</w:pPr>
            <w:r w:rsidRPr="00F16E0A">
              <w:t>removing</w:t>
            </w:r>
            <w:r>
              <w:t xml:space="preserve"> specifications about the manner in which compensation is provided;</w:t>
            </w:r>
          </w:p>
          <w:p w14:paraId="5567F6FD" w14:textId="77777777" w:rsidR="008535D7" w:rsidRDefault="00327BA9" w:rsidP="008535D7">
            <w:pPr>
              <w:pStyle w:val="ListParagraph"/>
              <w:numPr>
                <w:ilvl w:val="0"/>
                <w:numId w:val="6"/>
              </w:numPr>
              <w:contextualSpacing w:val="0"/>
              <w:jc w:val="both"/>
            </w:pPr>
            <w:r>
              <w:t>requiring that the equipment be for use on a site</w:t>
            </w:r>
            <w:r>
              <w:t xml:space="preserve"> where the third party is unable to obtain sufficient electricity service; and</w:t>
            </w:r>
          </w:p>
          <w:p w14:paraId="107B1BC2" w14:textId="77777777" w:rsidR="008535D7" w:rsidRDefault="00327BA9" w:rsidP="008535D7">
            <w:pPr>
              <w:pStyle w:val="ListParagraph"/>
              <w:numPr>
                <w:ilvl w:val="0"/>
                <w:numId w:val="7"/>
              </w:numPr>
              <w:contextualSpacing w:val="0"/>
              <w:jc w:val="both"/>
            </w:pPr>
            <w:r>
              <w:t>requiring that the equipment not interconnect with the electric transmission or distribution system.</w:t>
            </w:r>
          </w:p>
          <w:p w14:paraId="5DE49EC4" w14:textId="77777777" w:rsidR="008535D7" w:rsidRDefault="008535D7" w:rsidP="008535D7">
            <w:pPr>
              <w:jc w:val="both"/>
            </w:pPr>
          </w:p>
          <w:p w14:paraId="26ABB55F" w14:textId="77777777" w:rsidR="008535D7" w:rsidRDefault="00327BA9" w:rsidP="008535D7">
            <w:pPr>
              <w:jc w:val="both"/>
            </w:pPr>
            <w:r>
              <w:t>The substitute does not contain a provision excluding an entity that provid</w:t>
            </w:r>
            <w:r>
              <w:t>es the applicable rental or operation</w:t>
            </w:r>
            <w:r w:rsidRPr="00245E72">
              <w:t xml:space="preserve"> services</w:t>
            </w:r>
            <w:r>
              <w:t xml:space="preserve"> from classification as a retail electric provider solely for providing the services or because of how fees or payments are calculated and billed. The substitute does not amend definitions of "retail electric p</w:t>
            </w:r>
            <w:r>
              <w:t>rovider" applicable to statutory provisions governing electric utilities and statutory provisions establishing certain customer protections.</w:t>
            </w:r>
          </w:p>
          <w:p w14:paraId="2459D421" w14:textId="77777777" w:rsidR="008535D7" w:rsidRDefault="008535D7" w:rsidP="008535D7">
            <w:pPr>
              <w:jc w:val="both"/>
            </w:pPr>
          </w:p>
          <w:p w14:paraId="2686841E" w14:textId="252BCEEE" w:rsidR="00913347" w:rsidRPr="009C1E9A" w:rsidRDefault="00327BA9" w:rsidP="008535D7">
            <w:pPr>
              <w:rPr>
                <w:b/>
                <w:u w:val="single"/>
              </w:rPr>
            </w:pPr>
            <w:r>
              <w:t>The substitute includes a provision</w:t>
            </w:r>
            <w:r>
              <w:t xml:space="preserve"> establishing that a person providing the applicable rental or operation services is not for that reason considered to be a retail electric utility for purposes of provisions requiring a certificate of convenience and necessity.</w:t>
            </w:r>
          </w:p>
        </w:tc>
      </w:tr>
      <w:tr w:rsidR="006723F3" w14:paraId="537B32AC" w14:textId="77777777" w:rsidTr="00345119">
        <w:tc>
          <w:tcPr>
            <w:tcW w:w="9576" w:type="dxa"/>
          </w:tcPr>
          <w:p w14:paraId="3ABF2F02" w14:textId="77777777" w:rsidR="00913347" w:rsidRPr="001424FB" w:rsidRDefault="00913347" w:rsidP="001424FB">
            <w:pPr>
              <w:spacing w:line="480" w:lineRule="auto"/>
              <w:jc w:val="both"/>
            </w:pPr>
          </w:p>
        </w:tc>
      </w:tr>
      <w:tr w:rsidR="006723F3" w14:paraId="11B08CE2" w14:textId="77777777" w:rsidTr="00345119">
        <w:tc>
          <w:tcPr>
            <w:tcW w:w="9576" w:type="dxa"/>
          </w:tcPr>
          <w:p w14:paraId="4479DA17" w14:textId="77777777" w:rsidR="001424FB" w:rsidRPr="00913347" w:rsidRDefault="001424FB" w:rsidP="000A3011">
            <w:pPr>
              <w:jc w:val="both"/>
            </w:pPr>
          </w:p>
        </w:tc>
      </w:tr>
      <w:tr w:rsidR="006723F3" w14:paraId="4DCA4215" w14:textId="77777777" w:rsidTr="00345119">
        <w:tc>
          <w:tcPr>
            <w:tcW w:w="9576" w:type="dxa"/>
          </w:tcPr>
          <w:p w14:paraId="7D01EC11" w14:textId="77777777" w:rsidR="001424FB" w:rsidRPr="00913347" w:rsidRDefault="001424FB" w:rsidP="000A3011">
            <w:pPr>
              <w:jc w:val="both"/>
            </w:pPr>
          </w:p>
        </w:tc>
      </w:tr>
      <w:tr w:rsidR="006723F3" w14:paraId="1D405B10" w14:textId="77777777" w:rsidTr="00345119">
        <w:tc>
          <w:tcPr>
            <w:tcW w:w="9576" w:type="dxa"/>
          </w:tcPr>
          <w:p w14:paraId="36E8D501" w14:textId="77777777" w:rsidR="001424FB" w:rsidRPr="00913347" w:rsidRDefault="001424FB" w:rsidP="000A3011">
            <w:pPr>
              <w:jc w:val="both"/>
            </w:pPr>
          </w:p>
        </w:tc>
      </w:tr>
    </w:tbl>
    <w:p w14:paraId="26834FB7" w14:textId="77777777" w:rsidR="008423E4" w:rsidRPr="00BE0E75" w:rsidRDefault="008423E4" w:rsidP="000A3011">
      <w:pPr>
        <w:jc w:val="both"/>
        <w:rPr>
          <w:rFonts w:ascii="Arial" w:hAnsi="Arial"/>
          <w:sz w:val="16"/>
          <w:szCs w:val="16"/>
        </w:rPr>
      </w:pPr>
    </w:p>
    <w:p w14:paraId="1695EB3C" w14:textId="77777777" w:rsidR="004108C3" w:rsidRPr="008423E4" w:rsidRDefault="004108C3" w:rsidP="000A301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FA38E" w14:textId="77777777" w:rsidR="00000000" w:rsidRDefault="00327BA9">
      <w:r>
        <w:separator/>
      </w:r>
    </w:p>
  </w:endnote>
  <w:endnote w:type="continuationSeparator" w:id="0">
    <w:p w14:paraId="3D2CF060" w14:textId="77777777" w:rsidR="00000000" w:rsidRDefault="0032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73A51" w14:textId="77777777" w:rsidR="00B91C0E" w:rsidRDefault="00B91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723F3" w14:paraId="1EE47738" w14:textId="77777777" w:rsidTr="009C1E9A">
      <w:trPr>
        <w:cantSplit/>
      </w:trPr>
      <w:tc>
        <w:tcPr>
          <w:tcW w:w="0" w:type="pct"/>
        </w:tcPr>
        <w:p w14:paraId="6A28F6C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090A46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0021B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81B487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9B70FC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23F3" w14:paraId="282C158A" w14:textId="77777777" w:rsidTr="009C1E9A">
      <w:trPr>
        <w:cantSplit/>
      </w:trPr>
      <w:tc>
        <w:tcPr>
          <w:tcW w:w="0" w:type="pct"/>
        </w:tcPr>
        <w:p w14:paraId="3DBE6E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DAF2398" w14:textId="74470414" w:rsidR="00EC379B" w:rsidRPr="009C1E9A" w:rsidRDefault="00327BA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18996</w:t>
          </w:r>
        </w:p>
      </w:tc>
      <w:tc>
        <w:tcPr>
          <w:tcW w:w="2453" w:type="pct"/>
        </w:tcPr>
        <w:p w14:paraId="52F550DD" w14:textId="7E787703" w:rsidR="00EC379B" w:rsidRDefault="00327BA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237E6">
            <w:t>21.98.1441</w:t>
          </w:r>
          <w:r>
            <w:fldChar w:fldCharType="end"/>
          </w:r>
        </w:p>
      </w:tc>
    </w:tr>
    <w:tr w:rsidR="006723F3" w14:paraId="2957C2E2" w14:textId="77777777" w:rsidTr="009C1E9A">
      <w:trPr>
        <w:cantSplit/>
      </w:trPr>
      <w:tc>
        <w:tcPr>
          <w:tcW w:w="0" w:type="pct"/>
        </w:tcPr>
        <w:p w14:paraId="3E430E2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D82986E" w14:textId="2B1D537D" w:rsidR="00EC379B" w:rsidRPr="009C1E9A" w:rsidRDefault="00327BA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18039</w:t>
          </w:r>
        </w:p>
      </w:tc>
      <w:tc>
        <w:tcPr>
          <w:tcW w:w="2453" w:type="pct"/>
        </w:tcPr>
        <w:p w14:paraId="061E7886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A0267D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723F3" w14:paraId="14AB8E5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DC2F05" w14:textId="5059DB46" w:rsidR="00EC379B" w:rsidRDefault="00327BA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237E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6804A14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81456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6B259" w14:textId="77777777" w:rsidR="00B91C0E" w:rsidRDefault="00B91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35661" w14:textId="77777777" w:rsidR="00000000" w:rsidRDefault="00327BA9">
      <w:r>
        <w:separator/>
      </w:r>
    </w:p>
  </w:footnote>
  <w:footnote w:type="continuationSeparator" w:id="0">
    <w:p w14:paraId="265AF841" w14:textId="77777777" w:rsidR="00000000" w:rsidRDefault="0032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0B21" w14:textId="77777777" w:rsidR="00B91C0E" w:rsidRDefault="00B91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F49B" w14:textId="77777777" w:rsidR="00B91C0E" w:rsidRDefault="00B91C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562C" w14:textId="77777777" w:rsidR="00B91C0E" w:rsidRDefault="00B91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E2D"/>
    <w:multiLevelType w:val="hybridMultilevel"/>
    <w:tmpl w:val="3D14A15C"/>
    <w:lvl w:ilvl="0" w:tplc="25F22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4A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A6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A9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63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0DC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6C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8A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47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3BA"/>
    <w:multiLevelType w:val="hybridMultilevel"/>
    <w:tmpl w:val="892869FC"/>
    <w:lvl w:ilvl="0" w:tplc="FB48AA8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6DC6D2A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3267FA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6C63AF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DFE96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F662D9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618A43D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2A4636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3D4B60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41ABD"/>
    <w:multiLevelType w:val="hybridMultilevel"/>
    <w:tmpl w:val="EB1E7740"/>
    <w:lvl w:ilvl="0" w:tplc="0D363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6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4C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907A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C8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89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893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15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96F4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9435B"/>
    <w:multiLevelType w:val="hybridMultilevel"/>
    <w:tmpl w:val="88743E22"/>
    <w:lvl w:ilvl="0" w:tplc="0B88C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C8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A89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859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CD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40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D4E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20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29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72873"/>
    <w:multiLevelType w:val="hybridMultilevel"/>
    <w:tmpl w:val="13DAD0D2"/>
    <w:lvl w:ilvl="0" w:tplc="D2F22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2A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C1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44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C8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9C2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A5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CD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827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988"/>
    <w:multiLevelType w:val="hybridMultilevel"/>
    <w:tmpl w:val="82DCB8FE"/>
    <w:lvl w:ilvl="0" w:tplc="5B380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EC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8C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9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646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A5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E6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25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8F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95F0F"/>
    <w:multiLevelType w:val="hybridMultilevel"/>
    <w:tmpl w:val="154A137E"/>
    <w:lvl w:ilvl="0" w:tplc="1C94D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01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69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E3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AA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A28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AB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A90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A0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00"/>
    <w:rsid w:val="00000A70"/>
    <w:rsid w:val="00001F5D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55F08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6CA"/>
    <w:rsid w:val="00080D95"/>
    <w:rsid w:val="00090E6B"/>
    <w:rsid w:val="00091B2C"/>
    <w:rsid w:val="00092ABC"/>
    <w:rsid w:val="00097AAF"/>
    <w:rsid w:val="00097D13"/>
    <w:rsid w:val="000A3011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82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4FB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C77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97B1F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0DD6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5E72"/>
    <w:rsid w:val="0024691D"/>
    <w:rsid w:val="00247D27"/>
    <w:rsid w:val="00250A50"/>
    <w:rsid w:val="00251ED5"/>
    <w:rsid w:val="00255EB6"/>
    <w:rsid w:val="00257429"/>
    <w:rsid w:val="00260FA4"/>
    <w:rsid w:val="00261183"/>
    <w:rsid w:val="00262884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77739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5BF0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27BA9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7F6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178B5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244"/>
    <w:rsid w:val="00573401"/>
    <w:rsid w:val="00576714"/>
    <w:rsid w:val="0057685A"/>
    <w:rsid w:val="00577006"/>
    <w:rsid w:val="005847EF"/>
    <w:rsid w:val="005851E6"/>
    <w:rsid w:val="005878B7"/>
    <w:rsid w:val="00592C9A"/>
    <w:rsid w:val="00593DF8"/>
    <w:rsid w:val="00595745"/>
    <w:rsid w:val="005977F2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BF5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ED7"/>
    <w:rsid w:val="00656986"/>
    <w:rsid w:val="006624A8"/>
    <w:rsid w:val="00662B77"/>
    <w:rsid w:val="00662D0E"/>
    <w:rsid w:val="00663265"/>
    <w:rsid w:val="0066345F"/>
    <w:rsid w:val="0066485B"/>
    <w:rsid w:val="0067036E"/>
    <w:rsid w:val="00671693"/>
    <w:rsid w:val="006723F3"/>
    <w:rsid w:val="006757AA"/>
    <w:rsid w:val="0068065E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775A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4ABA"/>
    <w:rsid w:val="00717739"/>
    <w:rsid w:val="00717DE4"/>
    <w:rsid w:val="00721724"/>
    <w:rsid w:val="00722EC5"/>
    <w:rsid w:val="00723326"/>
    <w:rsid w:val="007237E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1611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12D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1B3D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76E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076EA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F78"/>
    <w:rsid w:val="008531A1"/>
    <w:rsid w:val="008535D7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40E1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34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37684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809"/>
    <w:rsid w:val="009B39BC"/>
    <w:rsid w:val="009B5069"/>
    <w:rsid w:val="009B69AD"/>
    <w:rsid w:val="009B7806"/>
    <w:rsid w:val="009C05C1"/>
    <w:rsid w:val="009C0B25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52EA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037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19E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31F6"/>
    <w:rsid w:val="00B34F25"/>
    <w:rsid w:val="00B43672"/>
    <w:rsid w:val="00B473D8"/>
    <w:rsid w:val="00B5165A"/>
    <w:rsid w:val="00B524C1"/>
    <w:rsid w:val="00B52C8D"/>
    <w:rsid w:val="00B53F3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38E3"/>
    <w:rsid w:val="00B90097"/>
    <w:rsid w:val="00B90999"/>
    <w:rsid w:val="00B91AD7"/>
    <w:rsid w:val="00B91C0E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D7201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56B"/>
    <w:rsid w:val="00C23956"/>
    <w:rsid w:val="00C248E6"/>
    <w:rsid w:val="00C2766F"/>
    <w:rsid w:val="00C3223B"/>
    <w:rsid w:val="00C333C6"/>
    <w:rsid w:val="00C33D05"/>
    <w:rsid w:val="00C35CC5"/>
    <w:rsid w:val="00C361C5"/>
    <w:rsid w:val="00C377D1"/>
    <w:rsid w:val="00C37BDA"/>
    <w:rsid w:val="00C37C84"/>
    <w:rsid w:val="00C42B41"/>
    <w:rsid w:val="00C46166"/>
    <w:rsid w:val="00C46720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416"/>
    <w:rsid w:val="00CA02B0"/>
    <w:rsid w:val="00CA032E"/>
    <w:rsid w:val="00CA0E49"/>
    <w:rsid w:val="00CA2182"/>
    <w:rsid w:val="00CA2186"/>
    <w:rsid w:val="00CA26EF"/>
    <w:rsid w:val="00CA318E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BAA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023"/>
    <w:rsid w:val="00D11B0B"/>
    <w:rsid w:val="00D12A3E"/>
    <w:rsid w:val="00D157AA"/>
    <w:rsid w:val="00D22160"/>
    <w:rsid w:val="00D22172"/>
    <w:rsid w:val="00D2301B"/>
    <w:rsid w:val="00D239EE"/>
    <w:rsid w:val="00D30534"/>
    <w:rsid w:val="00D35728"/>
    <w:rsid w:val="00D37BCF"/>
    <w:rsid w:val="00D40F93"/>
    <w:rsid w:val="00D416CA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214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90E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84E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308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3F00"/>
    <w:rsid w:val="00F0417E"/>
    <w:rsid w:val="00F04FA6"/>
    <w:rsid w:val="00F05397"/>
    <w:rsid w:val="00F0638C"/>
    <w:rsid w:val="00F11E04"/>
    <w:rsid w:val="00F12B24"/>
    <w:rsid w:val="00F12BC7"/>
    <w:rsid w:val="00F15223"/>
    <w:rsid w:val="00F164B4"/>
    <w:rsid w:val="00F16E0A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281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4196A4-D3AC-4448-982C-1CCD4A1D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178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7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178B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7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78B5"/>
    <w:rPr>
      <w:b/>
      <w:bCs/>
    </w:rPr>
  </w:style>
  <w:style w:type="paragraph" w:styleId="ListParagraph">
    <w:name w:val="List Paragraph"/>
    <w:basedOn w:val="Normal"/>
    <w:uiPriority w:val="34"/>
    <w:qFormat/>
    <w:rsid w:val="009E52EA"/>
    <w:pPr>
      <w:ind w:left="720"/>
      <w:contextualSpacing/>
    </w:pPr>
  </w:style>
  <w:style w:type="paragraph" w:styleId="Revision">
    <w:name w:val="Revision"/>
    <w:hidden/>
    <w:uiPriority w:val="99"/>
    <w:semiHidden/>
    <w:rsid w:val="00851F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3133</Characters>
  <Application>Microsoft Office Word</Application>
  <DocSecurity>4</DocSecurity>
  <Lines>80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HB01572 (Committee Report (Substituted))</vt:lpstr>
    </vt:vector>
  </TitlesOfParts>
  <Company>State of Texas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18996</dc:subject>
  <dc:creator>State of Texas</dc:creator>
  <dc:description>HB 1572 by Craddick-(H)State Affairs (Substitute Document Number: 87R 18039)</dc:description>
  <cp:lastModifiedBy>Stacey Nicchio</cp:lastModifiedBy>
  <cp:revision>2</cp:revision>
  <cp:lastPrinted>2003-11-26T17:21:00Z</cp:lastPrinted>
  <dcterms:created xsi:type="dcterms:W3CDTF">2021-04-12T22:32:00Z</dcterms:created>
  <dcterms:modified xsi:type="dcterms:W3CDTF">2021-04-12T22:32:00Z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21.98.1441</vt:lpwstr>
  </property>
</Properties>
</file>