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03EB" w14:paraId="34CAB409" w14:textId="77777777" w:rsidTr="00345119">
        <w:tc>
          <w:tcPr>
            <w:tcW w:w="9576" w:type="dxa"/>
            <w:noWrap/>
          </w:tcPr>
          <w:p w14:paraId="7CC5368D" w14:textId="77777777" w:rsidR="008423E4" w:rsidRPr="0022177D" w:rsidRDefault="00105A0D" w:rsidP="00780AC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699E00" w14:textId="77777777" w:rsidR="008423E4" w:rsidRPr="0022177D" w:rsidRDefault="008423E4" w:rsidP="00780AC6">
      <w:pPr>
        <w:jc w:val="center"/>
      </w:pPr>
    </w:p>
    <w:p w14:paraId="71DF52F1" w14:textId="77777777" w:rsidR="008423E4" w:rsidRPr="00B31F0E" w:rsidRDefault="008423E4" w:rsidP="00780AC6"/>
    <w:p w14:paraId="1F7DEBCD" w14:textId="77777777" w:rsidR="008423E4" w:rsidRPr="00742794" w:rsidRDefault="008423E4" w:rsidP="00780AC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03EB" w14:paraId="74A5365F" w14:textId="77777777" w:rsidTr="00345119">
        <w:tc>
          <w:tcPr>
            <w:tcW w:w="9576" w:type="dxa"/>
          </w:tcPr>
          <w:p w14:paraId="3CCBE1E1" w14:textId="6CA7651E" w:rsidR="008423E4" w:rsidRPr="00861995" w:rsidRDefault="00105A0D" w:rsidP="00780AC6">
            <w:pPr>
              <w:jc w:val="right"/>
            </w:pPr>
            <w:r>
              <w:t>H.B. 1600</w:t>
            </w:r>
          </w:p>
        </w:tc>
      </w:tr>
      <w:tr w:rsidR="00F503EB" w14:paraId="5836E877" w14:textId="77777777" w:rsidTr="00345119">
        <w:tc>
          <w:tcPr>
            <w:tcW w:w="9576" w:type="dxa"/>
          </w:tcPr>
          <w:p w14:paraId="0123DF37" w14:textId="13843413" w:rsidR="008423E4" w:rsidRPr="00861995" w:rsidRDefault="00105A0D" w:rsidP="00780AC6">
            <w:pPr>
              <w:jc w:val="right"/>
            </w:pPr>
            <w:r>
              <w:t xml:space="preserve">By: </w:t>
            </w:r>
            <w:r w:rsidR="004851C5">
              <w:t>Canales</w:t>
            </w:r>
          </w:p>
        </w:tc>
      </w:tr>
      <w:tr w:rsidR="00F503EB" w14:paraId="6BBDBAB1" w14:textId="77777777" w:rsidTr="00345119">
        <w:tc>
          <w:tcPr>
            <w:tcW w:w="9576" w:type="dxa"/>
          </w:tcPr>
          <w:p w14:paraId="4D8112DE" w14:textId="07C069FB" w:rsidR="008423E4" w:rsidRPr="00861995" w:rsidRDefault="00105A0D" w:rsidP="00780AC6">
            <w:pPr>
              <w:jc w:val="right"/>
            </w:pPr>
            <w:r>
              <w:t>State Affairs</w:t>
            </w:r>
          </w:p>
        </w:tc>
      </w:tr>
      <w:tr w:rsidR="00F503EB" w14:paraId="463BA386" w14:textId="77777777" w:rsidTr="00345119">
        <w:tc>
          <w:tcPr>
            <w:tcW w:w="9576" w:type="dxa"/>
          </w:tcPr>
          <w:p w14:paraId="68B015A7" w14:textId="26CB2F56" w:rsidR="008423E4" w:rsidRDefault="00105A0D" w:rsidP="00780AC6">
            <w:pPr>
              <w:jc w:val="right"/>
            </w:pPr>
            <w:r>
              <w:t>Committee Report (Unamended)</w:t>
            </w:r>
          </w:p>
        </w:tc>
      </w:tr>
    </w:tbl>
    <w:p w14:paraId="78FD2F2E" w14:textId="77777777" w:rsidR="008423E4" w:rsidRDefault="008423E4" w:rsidP="00780AC6">
      <w:pPr>
        <w:tabs>
          <w:tab w:val="right" w:pos="9360"/>
        </w:tabs>
      </w:pPr>
    </w:p>
    <w:p w14:paraId="2408004F" w14:textId="77777777" w:rsidR="008423E4" w:rsidRDefault="008423E4" w:rsidP="00780AC6"/>
    <w:p w14:paraId="62008F45" w14:textId="77777777" w:rsidR="008423E4" w:rsidRDefault="008423E4" w:rsidP="00780AC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03EB" w14:paraId="1014B24E" w14:textId="77777777" w:rsidTr="00345119">
        <w:tc>
          <w:tcPr>
            <w:tcW w:w="9576" w:type="dxa"/>
          </w:tcPr>
          <w:p w14:paraId="4A85293A" w14:textId="77777777" w:rsidR="008423E4" w:rsidRPr="00A8133F" w:rsidRDefault="00105A0D" w:rsidP="007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8B63C5" w14:textId="77777777" w:rsidR="008423E4" w:rsidRDefault="008423E4" w:rsidP="00780AC6"/>
          <w:p w14:paraId="0B7F6445" w14:textId="270541AE" w:rsidR="008423E4" w:rsidRDefault="00105A0D" w:rsidP="00780AC6">
            <w:pPr>
              <w:pStyle w:val="Header"/>
              <w:jc w:val="both"/>
            </w:pPr>
            <w:r>
              <w:t>A number of state entities</w:t>
            </w:r>
            <w:r w:rsidRPr="00DE44BC">
              <w:t xml:space="preserve"> underwent </w:t>
            </w:r>
            <w:r>
              <w:t xml:space="preserve">review by the Texas </w:t>
            </w:r>
            <w:r w:rsidRPr="00DE44BC">
              <w:t xml:space="preserve">Sunset </w:t>
            </w:r>
            <w:r>
              <w:t>Commission during the 2020</w:t>
            </w:r>
            <w:r w:rsidR="005402FF">
              <w:noBreakHyphen/>
            </w:r>
            <w:r>
              <w:t xml:space="preserve">2021 </w:t>
            </w:r>
            <w:r w:rsidRPr="00DE44BC">
              <w:t xml:space="preserve">review </w:t>
            </w:r>
            <w:r>
              <w:t xml:space="preserve">cycle and are </w:t>
            </w:r>
            <w:r w:rsidR="006A4E1C">
              <w:t>scheduled</w:t>
            </w:r>
            <w:r>
              <w:t xml:space="preserve"> to </w:t>
            </w:r>
            <w:r w:rsidR="006A4E1C">
              <w:t xml:space="preserve">be </w:t>
            </w:r>
            <w:r>
              <w:t>abolish</w:t>
            </w:r>
            <w:r w:rsidR="006A4E1C">
              <w:t>ed</w:t>
            </w:r>
            <w:r>
              <w:t xml:space="preserve"> in September 2021 unless continued by the legislature. H.B. 1600, the biennial "Sunset safety net bill," seeks to </w:t>
            </w:r>
            <w:r w:rsidR="006A4E1C">
              <w:t xml:space="preserve">continue </w:t>
            </w:r>
            <w:r w:rsidR="001D2E9F">
              <w:t xml:space="preserve">20 </w:t>
            </w:r>
            <w:r w:rsidR="00743C85">
              <w:t>of these</w:t>
            </w:r>
            <w:r w:rsidR="006A4E1C">
              <w:t xml:space="preserve"> entit</w:t>
            </w:r>
            <w:r w:rsidR="00743C85">
              <w:t>ies</w:t>
            </w:r>
            <w:r>
              <w:t xml:space="preserve"> </w:t>
            </w:r>
            <w:r w:rsidR="006A4E1C">
              <w:t xml:space="preserve">for </w:t>
            </w:r>
            <w:r>
              <w:t>two year</w:t>
            </w:r>
            <w:r w:rsidR="006A4E1C">
              <w:t>s</w:t>
            </w:r>
            <w:r>
              <w:t xml:space="preserve"> </w:t>
            </w:r>
            <w:r w:rsidR="006A4E1C">
              <w:t>to protect</w:t>
            </w:r>
            <w:r>
              <w:t xml:space="preserve"> against </w:t>
            </w:r>
            <w:r w:rsidR="006A4E1C">
              <w:t xml:space="preserve">the </w:t>
            </w:r>
            <w:r>
              <w:t xml:space="preserve">unintended abolishment of an </w:t>
            </w:r>
            <w:r w:rsidR="006A4E1C">
              <w:t>entity</w:t>
            </w:r>
            <w:r>
              <w:t xml:space="preserve"> should the legislature fail to enact</w:t>
            </w:r>
            <w:r>
              <w:t xml:space="preserve"> </w:t>
            </w:r>
            <w:r w:rsidR="0006586B">
              <w:t>specific</w:t>
            </w:r>
            <w:r w:rsidR="006A4E1C">
              <w:t xml:space="preserve"> </w:t>
            </w:r>
            <w:r>
              <w:t xml:space="preserve">legislation </w:t>
            </w:r>
            <w:r w:rsidR="0006586B">
              <w:t>continuing</w:t>
            </w:r>
            <w:r>
              <w:t xml:space="preserve"> </w:t>
            </w:r>
            <w:r w:rsidR="006A4E1C">
              <w:t>the entity</w:t>
            </w:r>
            <w:r>
              <w:t>.</w:t>
            </w:r>
          </w:p>
          <w:p w14:paraId="31366D87" w14:textId="77777777" w:rsidR="008423E4" w:rsidRPr="00E26B13" w:rsidRDefault="008423E4" w:rsidP="00780AC6">
            <w:pPr>
              <w:rPr>
                <w:b/>
              </w:rPr>
            </w:pPr>
          </w:p>
        </w:tc>
      </w:tr>
      <w:tr w:rsidR="00F503EB" w14:paraId="316052DD" w14:textId="77777777" w:rsidTr="00345119">
        <w:tc>
          <w:tcPr>
            <w:tcW w:w="9576" w:type="dxa"/>
          </w:tcPr>
          <w:p w14:paraId="05092126" w14:textId="77777777" w:rsidR="0017725B" w:rsidRDefault="00105A0D" w:rsidP="00780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4954DE" w14:textId="77777777" w:rsidR="0017725B" w:rsidRDefault="0017725B" w:rsidP="00780AC6">
            <w:pPr>
              <w:rPr>
                <w:b/>
                <w:u w:val="single"/>
              </w:rPr>
            </w:pPr>
          </w:p>
          <w:p w14:paraId="7A49ACF9" w14:textId="77777777" w:rsidR="0000741B" w:rsidRPr="0000741B" w:rsidRDefault="00105A0D" w:rsidP="00780AC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777DD4F9" w14:textId="77777777" w:rsidR="0017725B" w:rsidRPr="0017725B" w:rsidRDefault="0017725B" w:rsidP="00780AC6">
            <w:pPr>
              <w:rPr>
                <w:b/>
                <w:u w:val="single"/>
              </w:rPr>
            </w:pPr>
          </w:p>
        </w:tc>
      </w:tr>
      <w:tr w:rsidR="00F503EB" w14:paraId="029F0315" w14:textId="77777777" w:rsidTr="00345119">
        <w:tc>
          <w:tcPr>
            <w:tcW w:w="9576" w:type="dxa"/>
          </w:tcPr>
          <w:p w14:paraId="5757AC3E" w14:textId="77777777" w:rsidR="008423E4" w:rsidRPr="00A8133F" w:rsidRDefault="00105A0D" w:rsidP="007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77BD0F" w14:textId="77777777" w:rsidR="008423E4" w:rsidRDefault="008423E4" w:rsidP="00780AC6"/>
          <w:p w14:paraId="619CCFEC" w14:textId="77777777" w:rsidR="0000741B" w:rsidRDefault="00105A0D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57E18B04" w14:textId="77777777" w:rsidR="008423E4" w:rsidRPr="00E21FDC" w:rsidRDefault="008423E4" w:rsidP="00780AC6">
            <w:pPr>
              <w:rPr>
                <w:b/>
              </w:rPr>
            </w:pPr>
          </w:p>
        </w:tc>
      </w:tr>
      <w:tr w:rsidR="00F503EB" w14:paraId="3CF74135" w14:textId="77777777" w:rsidTr="00345119">
        <w:tc>
          <w:tcPr>
            <w:tcW w:w="9576" w:type="dxa"/>
          </w:tcPr>
          <w:p w14:paraId="2945DBF3" w14:textId="77777777" w:rsidR="008423E4" w:rsidRPr="00A8133F" w:rsidRDefault="00105A0D" w:rsidP="007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13D045" w14:textId="77777777" w:rsidR="008423E4" w:rsidRDefault="008423E4" w:rsidP="00780AC6"/>
          <w:p w14:paraId="2B29D37D" w14:textId="55A4DF82" w:rsidR="009C36CD" w:rsidRDefault="00105A0D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1600 amends the </w:t>
            </w:r>
            <w:r w:rsidRPr="00334ACF">
              <w:t>Agriculture Code, Education Code, Finance Code, Government Code, Health and Safety Code, Occupations Code</w:t>
            </w:r>
            <w:r>
              <w:t xml:space="preserve">, and Parks and Wildlife Code to continue the following </w:t>
            </w:r>
            <w:r w:rsidR="0000741B">
              <w:t xml:space="preserve">state </w:t>
            </w:r>
            <w:r w:rsidR="002910B7">
              <w:t>governmental entities</w:t>
            </w:r>
            <w:r>
              <w:t xml:space="preserve"> </w:t>
            </w:r>
            <w:r w:rsidR="0000741B">
              <w:t>and related state law</w:t>
            </w:r>
            <w:r w:rsidR="00D0629B">
              <w:t>, as applicable,</w:t>
            </w:r>
            <w:r w:rsidR="0000741B">
              <w:t xml:space="preserve"> </w:t>
            </w:r>
            <w:r>
              <w:t xml:space="preserve">until 2023 and </w:t>
            </w:r>
            <w:r w:rsidR="0000741B">
              <w:t xml:space="preserve">to </w:t>
            </w:r>
            <w:r>
              <w:t xml:space="preserve">provide for the </w:t>
            </w:r>
            <w:r w:rsidR="003D7903">
              <w:t xml:space="preserve">next </w:t>
            </w:r>
            <w:r>
              <w:t xml:space="preserve">review of those </w:t>
            </w:r>
            <w:r w:rsidR="003D7903">
              <w:t>entities</w:t>
            </w:r>
            <w:r>
              <w:t xml:space="preserve"> under the Texas Sunset Act </w:t>
            </w:r>
            <w:r w:rsidR="0000741B">
              <w:t>during</w:t>
            </w:r>
            <w:r>
              <w:t xml:space="preserve"> the 2022-2023</w:t>
            </w:r>
            <w:r w:rsidR="0000741B">
              <w:t xml:space="preserve"> sunset</w:t>
            </w:r>
            <w:r>
              <w:t xml:space="preserve"> review cycle:</w:t>
            </w:r>
          </w:p>
          <w:p w14:paraId="7EA335F4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Department of Agriculture;</w:t>
            </w:r>
          </w:p>
          <w:p w14:paraId="5659BFC9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board of directors of the official cotton growers' boll weevil</w:t>
            </w:r>
            <w:r>
              <w:t xml:space="preserve"> eradication foundation;</w:t>
            </w:r>
          </w:p>
          <w:p w14:paraId="4C1F5C75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Animal Health Commission;</w:t>
            </w:r>
          </w:p>
          <w:p w14:paraId="6A2AD78F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Prepaid Higher Education Tuition Board;</w:t>
            </w:r>
          </w:p>
          <w:p w14:paraId="089C67BD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Credit Union Department;</w:t>
            </w:r>
          </w:p>
          <w:p w14:paraId="73446884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Credit Union Commission;</w:t>
            </w:r>
          </w:p>
          <w:p w14:paraId="226A8C43" w14:textId="25E0F1C0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Texas Commission on Fire </w:t>
            </w:r>
            <w:r w:rsidR="00782EBD">
              <w:t>Protection</w:t>
            </w:r>
            <w:r>
              <w:t>;</w:t>
            </w:r>
          </w:p>
          <w:p w14:paraId="6C93A700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Holocaust and Genocide Commission;</w:t>
            </w:r>
          </w:p>
          <w:p w14:paraId="777AA1D5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</w:t>
            </w:r>
            <w:r>
              <w:t>as Economic Development and Tourism Office;</w:t>
            </w:r>
          </w:p>
          <w:p w14:paraId="369F6BE1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Commission on Jail Standards;</w:t>
            </w:r>
          </w:p>
          <w:p w14:paraId="1CFA6830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Office of State-Federal Relations;</w:t>
            </w:r>
          </w:p>
          <w:p w14:paraId="4D7BBDEC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Anatomical Board of the State of Texas;</w:t>
            </w:r>
          </w:p>
          <w:p w14:paraId="1F31E153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Department of Licensing and Regulation;</w:t>
            </w:r>
          </w:p>
          <w:p w14:paraId="14E05ED7" w14:textId="1122D80D" w:rsidR="00E13747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Texas Commission of Licensing and </w:t>
            </w:r>
            <w:r>
              <w:t>Regulation;</w:t>
            </w:r>
          </w:p>
          <w:p w14:paraId="62378A32" w14:textId="7DB8389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State Board of Veterinary Medical Examiners;</w:t>
            </w:r>
          </w:p>
          <w:p w14:paraId="07BD9881" w14:textId="77777777" w:rsidR="00D727DA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Commission on Law Enforcement;</w:t>
            </w:r>
          </w:p>
          <w:p w14:paraId="0F903567" w14:textId="77777777" w:rsidR="0000741B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Racing Commission; and</w:t>
            </w:r>
          </w:p>
          <w:p w14:paraId="2A5D6E29" w14:textId="77777777" w:rsidR="0000741B" w:rsidRDefault="00105A0D" w:rsidP="00780A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Parks and Wildlife Department.</w:t>
            </w:r>
          </w:p>
          <w:p w14:paraId="5D57E825" w14:textId="77777777" w:rsidR="0000741B" w:rsidRDefault="0000741B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911705" w14:textId="606BA9EB" w:rsidR="002910B7" w:rsidRDefault="00105A0D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1600 amends the Government Code and Special District Local Law</w:t>
            </w:r>
            <w:r w:rsidR="00E13747">
              <w:t>s</w:t>
            </w:r>
            <w:r>
              <w:t xml:space="preserve"> Code to provide for the </w:t>
            </w:r>
            <w:r w:rsidR="001C7A77">
              <w:t xml:space="preserve">next </w:t>
            </w:r>
            <w:r>
              <w:t xml:space="preserve">sunset review of the board of </w:t>
            </w:r>
            <w:r w:rsidR="003F6180">
              <w:t xml:space="preserve">trustees </w:t>
            </w:r>
            <w:r>
              <w:t>of the Teacher Retirement System of Texas and the Brazos River Authority</w:t>
            </w:r>
            <w:r w:rsidR="005B4325">
              <w:t xml:space="preserve"> </w:t>
            </w:r>
            <w:r>
              <w:t xml:space="preserve">during </w:t>
            </w:r>
            <w:r w:rsidR="00D0629B">
              <w:t>the 2022-2023 sunset review cycle</w:t>
            </w:r>
            <w:r>
              <w:t xml:space="preserve">. </w:t>
            </w:r>
          </w:p>
          <w:p w14:paraId="67984EDF" w14:textId="77777777" w:rsidR="002910B7" w:rsidRDefault="002910B7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71B7B3" w14:textId="3440FD8D" w:rsidR="0000741B" w:rsidRPr="009C36CD" w:rsidRDefault="00105A0D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1600 establishes that if </w:t>
            </w:r>
            <w:r w:rsidRPr="002910B7">
              <w:t xml:space="preserve">a conflict exists between </w:t>
            </w:r>
            <w:r w:rsidR="003912E2">
              <w:t>H.B. 1600</w:t>
            </w:r>
            <w:r w:rsidRPr="002910B7">
              <w:t xml:space="preserve"> and </w:t>
            </w:r>
            <w:r w:rsidRPr="002910B7">
              <w:t xml:space="preserve">another </w:t>
            </w:r>
            <w:r>
              <w:t xml:space="preserve">bill enacted by </w:t>
            </w:r>
            <w:r w:rsidRPr="002910B7">
              <w:t xml:space="preserve">the 87th Legislature, Regular Session, 2021, that extends the sunset date of a governmental entity, the provisions of the other </w:t>
            </w:r>
            <w:r>
              <w:t>bill</w:t>
            </w:r>
            <w:r w:rsidRPr="002910B7">
              <w:t xml:space="preserve"> control without regard to the relative dates of enactment.</w:t>
            </w:r>
          </w:p>
          <w:p w14:paraId="75A102D9" w14:textId="77777777" w:rsidR="008423E4" w:rsidRPr="00835628" w:rsidRDefault="008423E4" w:rsidP="00780AC6">
            <w:pPr>
              <w:rPr>
                <w:b/>
              </w:rPr>
            </w:pPr>
          </w:p>
        </w:tc>
      </w:tr>
      <w:tr w:rsidR="00F503EB" w14:paraId="11CF345B" w14:textId="77777777" w:rsidTr="00345119">
        <w:tc>
          <w:tcPr>
            <w:tcW w:w="9576" w:type="dxa"/>
          </w:tcPr>
          <w:p w14:paraId="748D6A30" w14:textId="77777777" w:rsidR="008423E4" w:rsidRPr="00A8133F" w:rsidRDefault="00105A0D" w:rsidP="0078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2FAEC4" w14:textId="77777777" w:rsidR="008423E4" w:rsidRDefault="008423E4" w:rsidP="00780AC6"/>
          <w:p w14:paraId="5E698990" w14:textId="592CCE54" w:rsidR="008423E4" w:rsidRPr="00602BD6" w:rsidRDefault="00105A0D" w:rsidP="0078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2021.</w:t>
            </w:r>
          </w:p>
        </w:tc>
      </w:tr>
    </w:tbl>
    <w:p w14:paraId="1BC71FC0" w14:textId="337ACAD1" w:rsidR="004108C3" w:rsidRPr="008423E4" w:rsidRDefault="004108C3" w:rsidP="00780AC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7C1F" w14:textId="77777777" w:rsidR="00000000" w:rsidRDefault="00105A0D">
      <w:r>
        <w:separator/>
      </w:r>
    </w:p>
  </w:endnote>
  <w:endnote w:type="continuationSeparator" w:id="0">
    <w:p w14:paraId="225805CD" w14:textId="77777777" w:rsidR="00000000" w:rsidRDefault="0010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B3F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03EB" w14:paraId="5C12EB8A" w14:textId="77777777" w:rsidTr="009C1E9A">
      <w:trPr>
        <w:cantSplit/>
      </w:trPr>
      <w:tc>
        <w:tcPr>
          <w:tcW w:w="0" w:type="pct"/>
        </w:tcPr>
        <w:p w14:paraId="387FBD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9DEC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9412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9F57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FAA1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03EB" w14:paraId="0E74AF0A" w14:textId="77777777" w:rsidTr="009C1E9A">
      <w:trPr>
        <w:cantSplit/>
      </w:trPr>
      <w:tc>
        <w:tcPr>
          <w:tcW w:w="0" w:type="pct"/>
        </w:tcPr>
        <w:p w14:paraId="5CE2FB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E5AC0D" w14:textId="697D2E12" w:rsidR="00EC379B" w:rsidRPr="009C1E9A" w:rsidRDefault="00105A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16438</w:t>
          </w:r>
        </w:p>
      </w:tc>
      <w:tc>
        <w:tcPr>
          <w:tcW w:w="2453" w:type="pct"/>
        </w:tcPr>
        <w:p w14:paraId="280622E0" w14:textId="0FB57FB7" w:rsidR="00EC379B" w:rsidRDefault="00105A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219ED">
            <w:t>21.78.1035</w:t>
          </w:r>
          <w:r>
            <w:fldChar w:fldCharType="end"/>
          </w:r>
        </w:p>
      </w:tc>
    </w:tr>
    <w:tr w:rsidR="00F503EB" w14:paraId="4C6F909E" w14:textId="77777777" w:rsidTr="009C1E9A">
      <w:trPr>
        <w:cantSplit/>
      </w:trPr>
      <w:tc>
        <w:tcPr>
          <w:tcW w:w="0" w:type="pct"/>
        </w:tcPr>
        <w:p w14:paraId="2D6BC6E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BB906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A051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696C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03EB" w14:paraId="19967FD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0BCCE5" w14:textId="312C81C5" w:rsidR="00EC379B" w:rsidRDefault="00105A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80AC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C062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B3DB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71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87B9" w14:textId="77777777" w:rsidR="00000000" w:rsidRDefault="00105A0D">
      <w:r>
        <w:separator/>
      </w:r>
    </w:p>
  </w:footnote>
  <w:footnote w:type="continuationSeparator" w:id="0">
    <w:p w14:paraId="584F4112" w14:textId="77777777" w:rsidR="00000000" w:rsidRDefault="0010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35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7FD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F36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38F"/>
    <w:multiLevelType w:val="hybridMultilevel"/>
    <w:tmpl w:val="220ECD8E"/>
    <w:lvl w:ilvl="0" w:tplc="7988D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C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20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D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8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8C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25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2E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49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04807"/>
    <w:multiLevelType w:val="hybridMultilevel"/>
    <w:tmpl w:val="90A6C45E"/>
    <w:lvl w:ilvl="0" w:tplc="FF26F5CE">
      <w:start w:val="1"/>
      <w:numFmt w:val="lowerLetter"/>
      <w:lvlText w:val="(%1)"/>
      <w:lvlJc w:val="left"/>
      <w:pPr>
        <w:ind w:left="910" w:hanging="550"/>
      </w:pPr>
      <w:rPr>
        <w:rFonts w:hint="default"/>
      </w:rPr>
    </w:lvl>
    <w:lvl w:ilvl="1" w:tplc="9DEE4A38" w:tentative="1">
      <w:start w:val="1"/>
      <w:numFmt w:val="lowerLetter"/>
      <w:lvlText w:val="%2."/>
      <w:lvlJc w:val="left"/>
      <w:pPr>
        <w:ind w:left="1440" w:hanging="360"/>
      </w:pPr>
    </w:lvl>
    <w:lvl w:ilvl="2" w:tplc="CC184F16" w:tentative="1">
      <w:start w:val="1"/>
      <w:numFmt w:val="lowerRoman"/>
      <w:lvlText w:val="%3."/>
      <w:lvlJc w:val="right"/>
      <w:pPr>
        <w:ind w:left="2160" w:hanging="180"/>
      </w:pPr>
    </w:lvl>
    <w:lvl w:ilvl="3" w:tplc="7EBEB120" w:tentative="1">
      <w:start w:val="1"/>
      <w:numFmt w:val="decimal"/>
      <w:lvlText w:val="%4."/>
      <w:lvlJc w:val="left"/>
      <w:pPr>
        <w:ind w:left="2880" w:hanging="360"/>
      </w:pPr>
    </w:lvl>
    <w:lvl w:ilvl="4" w:tplc="A944134E" w:tentative="1">
      <w:start w:val="1"/>
      <w:numFmt w:val="lowerLetter"/>
      <w:lvlText w:val="%5."/>
      <w:lvlJc w:val="left"/>
      <w:pPr>
        <w:ind w:left="3600" w:hanging="360"/>
      </w:pPr>
    </w:lvl>
    <w:lvl w:ilvl="5" w:tplc="1F80B788" w:tentative="1">
      <w:start w:val="1"/>
      <w:numFmt w:val="lowerRoman"/>
      <w:lvlText w:val="%6."/>
      <w:lvlJc w:val="right"/>
      <w:pPr>
        <w:ind w:left="4320" w:hanging="180"/>
      </w:pPr>
    </w:lvl>
    <w:lvl w:ilvl="6" w:tplc="4DF04A74" w:tentative="1">
      <w:start w:val="1"/>
      <w:numFmt w:val="decimal"/>
      <w:lvlText w:val="%7."/>
      <w:lvlJc w:val="left"/>
      <w:pPr>
        <w:ind w:left="5040" w:hanging="360"/>
      </w:pPr>
    </w:lvl>
    <w:lvl w:ilvl="7" w:tplc="DC46EE2C" w:tentative="1">
      <w:start w:val="1"/>
      <w:numFmt w:val="lowerLetter"/>
      <w:lvlText w:val="%8."/>
      <w:lvlJc w:val="left"/>
      <w:pPr>
        <w:ind w:left="5760" w:hanging="360"/>
      </w:pPr>
    </w:lvl>
    <w:lvl w:ilvl="8" w:tplc="D81A00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7"/>
    <w:rsid w:val="00000A70"/>
    <w:rsid w:val="000032B8"/>
    <w:rsid w:val="00003B06"/>
    <w:rsid w:val="000054B9"/>
    <w:rsid w:val="0000741B"/>
    <w:rsid w:val="00007461"/>
    <w:rsid w:val="0001117E"/>
    <w:rsid w:val="0001125F"/>
    <w:rsid w:val="0001338E"/>
    <w:rsid w:val="0001352F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86B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668"/>
    <w:rsid w:val="00105A0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85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A77"/>
    <w:rsid w:val="001C7DB8"/>
    <w:rsid w:val="001C7EA8"/>
    <w:rsid w:val="001D1711"/>
    <w:rsid w:val="001D2A01"/>
    <w:rsid w:val="001D2E9F"/>
    <w:rsid w:val="001D2EF6"/>
    <w:rsid w:val="001D37A8"/>
    <w:rsid w:val="001D462E"/>
    <w:rsid w:val="001E2CAD"/>
    <w:rsid w:val="001E34DB"/>
    <w:rsid w:val="001E37CD"/>
    <w:rsid w:val="001E4070"/>
    <w:rsid w:val="001E655E"/>
    <w:rsid w:val="001E71D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4EB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0B7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A3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ACF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2E2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903"/>
    <w:rsid w:val="003E0875"/>
    <w:rsid w:val="003E0BB8"/>
    <w:rsid w:val="003E6CB0"/>
    <w:rsid w:val="003F1F5E"/>
    <w:rsid w:val="003F286A"/>
    <w:rsid w:val="003F618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8D9"/>
    <w:rsid w:val="00461B69"/>
    <w:rsid w:val="00462B3D"/>
    <w:rsid w:val="0047083E"/>
    <w:rsid w:val="00474927"/>
    <w:rsid w:val="00475913"/>
    <w:rsid w:val="00480080"/>
    <w:rsid w:val="004824A7"/>
    <w:rsid w:val="00483AF0"/>
    <w:rsid w:val="00484167"/>
    <w:rsid w:val="004851C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A87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2F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325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BD6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39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E1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0B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418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C85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AC6"/>
    <w:rsid w:val="00780FB6"/>
    <w:rsid w:val="00782EBD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CE7"/>
    <w:rsid w:val="00903E0A"/>
    <w:rsid w:val="00904721"/>
    <w:rsid w:val="00907780"/>
    <w:rsid w:val="00907EDD"/>
    <w:rsid w:val="009107AD"/>
    <w:rsid w:val="00915568"/>
    <w:rsid w:val="009169BC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9E1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BC7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B54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06C3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0FC"/>
    <w:rsid w:val="00C2142B"/>
    <w:rsid w:val="00C22987"/>
    <w:rsid w:val="00C23956"/>
    <w:rsid w:val="00C248E6"/>
    <w:rsid w:val="00C24CE9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BE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29B"/>
    <w:rsid w:val="00D06605"/>
    <w:rsid w:val="00D0720F"/>
    <w:rsid w:val="00D074E2"/>
    <w:rsid w:val="00D11B0B"/>
    <w:rsid w:val="00D12A3E"/>
    <w:rsid w:val="00D219ED"/>
    <w:rsid w:val="00D22160"/>
    <w:rsid w:val="00D22172"/>
    <w:rsid w:val="00D2301B"/>
    <w:rsid w:val="00D239EE"/>
    <w:rsid w:val="00D30534"/>
    <w:rsid w:val="00D354F3"/>
    <w:rsid w:val="00D35728"/>
    <w:rsid w:val="00D37BCF"/>
    <w:rsid w:val="00D40F93"/>
    <w:rsid w:val="00D42277"/>
    <w:rsid w:val="00D432D0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7DA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4BC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747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0B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3EB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60CC92-0683-4D8B-A857-1631F31A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74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4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41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74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E137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2411</Characters>
  <Application>Microsoft Office Word</Application>
  <DocSecurity>4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HB01600 (Committee Report (Unamended))</vt:lpstr>
    </vt:vector>
  </TitlesOfParts>
  <Company>State of Texas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16438</dc:subject>
  <dc:creator>State of Texas</dc:creator>
  <dc:description>HB 1600 by Canales-(H)State Affairs</dc:description>
  <cp:lastModifiedBy>Thomas Weis</cp:lastModifiedBy>
  <cp:revision>2</cp:revision>
  <cp:lastPrinted>2003-11-26T17:21:00Z</cp:lastPrinted>
  <dcterms:created xsi:type="dcterms:W3CDTF">2021-03-23T21:51:00Z</dcterms:created>
  <dcterms:modified xsi:type="dcterms:W3CDTF">2021-03-23T21:51:00Z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21.78.1035</vt:lpwstr>
  </property>
</Properties>
</file>