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E689F" w14:paraId="5E6D6042" w14:textId="77777777" w:rsidTr="00345119">
        <w:tc>
          <w:tcPr>
            <w:tcW w:w="9576" w:type="dxa"/>
            <w:noWrap/>
          </w:tcPr>
          <w:p w14:paraId="1EAC98C4" w14:textId="77777777" w:rsidR="008423E4" w:rsidRPr="0022177D" w:rsidRDefault="001341FB" w:rsidP="0077757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12A1A4" w14:textId="77777777" w:rsidR="008423E4" w:rsidRPr="0022177D" w:rsidRDefault="008423E4" w:rsidP="00777572">
      <w:pPr>
        <w:jc w:val="center"/>
      </w:pPr>
    </w:p>
    <w:p w14:paraId="56CFC600" w14:textId="77777777" w:rsidR="008423E4" w:rsidRPr="00B31F0E" w:rsidRDefault="008423E4" w:rsidP="00777572"/>
    <w:p w14:paraId="7BEBDB64" w14:textId="77777777" w:rsidR="008423E4" w:rsidRPr="00742794" w:rsidRDefault="008423E4" w:rsidP="0077757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689F" w14:paraId="6EB12538" w14:textId="77777777" w:rsidTr="00345119">
        <w:tc>
          <w:tcPr>
            <w:tcW w:w="9576" w:type="dxa"/>
          </w:tcPr>
          <w:p w14:paraId="224C9307" w14:textId="31DD64E0" w:rsidR="008423E4" w:rsidRPr="00861995" w:rsidRDefault="001341FB" w:rsidP="00777572">
            <w:pPr>
              <w:jc w:val="right"/>
            </w:pPr>
            <w:r>
              <w:t>C.S.H.B. 1647</w:t>
            </w:r>
          </w:p>
        </w:tc>
      </w:tr>
      <w:tr w:rsidR="008E689F" w14:paraId="67DBF392" w14:textId="77777777" w:rsidTr="00345119">
        <w:tc>
          <w:tcPr>
            <w:tcW w:w="9576" w:type="dxa"/>
          </w:tcPr>
          <w:p w14:paraId="1CEDBF98" w14:textId="16AC3A1D" w:rsidR="008423E4" w:rsidRPr="00861995" w:rsidRDefault="001341FB" w:rsidP="00777572">
            <w:pPr>
              <w:jc w:val="right"/>
            </w:pPr>
            <w:r>
              <w:t xml:space="preserve">By: </w:t>
            </w:r>
            <w:r w:rsidR="00E25786">
              <w:t>Walle</w:t>
            </w:r>
          </w:p>
        </w:tc>
      </w:tr>
      <w:tr w:rsidR="008E689F" w14:paraId="5E40CFB4" w14:textId="77777777" w:rsidTr="00345119">
        <w:tc>
          <w:tcPr>
            <w:tcW w:w="9576" w:type="dxa"/>
          </w:tcPr>
          <w:p w14:paraId="7C1C2192" w14:textId="727F74B8" w:rsidR="008423E4" w:rsidRPr="00861995" w:rsidRDefault="001341FB" w:rsidP="00777572">
            <w:pPr>
              <w:jc w:val="right"/>
            </w:pPr>
            <w:r>
              <w:t>Business &amp; Industry</w:t>
            </w:r>
          </w:p>
        </w:tc>
      </w:tr>
      <w:tr w:rsidR="008E689F" w14:paraId="2FBF72A3" w14:textId="77777777" w:rsidTr="00345119">
        <w:tc>
          <w:tcPr>
            <w:tcW w:w="9576" w:type="dxa"/>
          </w:tcPr>
          <w:p w14:paraId="776D1B5B" w14:textId="78BE7BE9" w:rsidR="008423E4" w:rsidRDefault="001341FB" w:rsidP="00777572">
            <w:pPr>
              <w:jc w:val="right"/>
            </w:pPr>
            <w:r>
              <w:t>Committee Report (Substituted)</w:t>
            </w:r>
          </w:p>
        </w:tc>
      </w:tr>
    </w:tbl>
    <w:p w14:paraId="5E9DA55D" w14:textId="77777777" w:rsidR="008423E4" w:rsidRDefault="008423E4" w:rsidP="00777572">
      <w:pPr>
        <w:tabs>
          <w:tab w:val="right" w:pos="9360"/>
        </w:tabs>
      </w:pPr>
    </w:p>
    <w:p w14:paraId="60DDCBEE" w14:textId="77777777" w:rsidR="008423E4" w:rsidRDefault="008423E4" w:rsidP="00777572"/>
    <w:p w14:paraId="37E55FEC" w14:textId="77777777" w:rsidR="008423E4" w:rsidRDefault="008423E4" w:rsidP="0077757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E689F" w14:paraId="3C3C0F71" w14:textId="77777777" w:rsidTr="00E65745">
        <w:tc>
          <w:tcPr>
            <w:tcW w:w="9360" w:type="dxa"/>
          </w:tcPr>
          <w:p w14:paraId="759DC13D" w14:textId="77777777" w:rsidR="008423E4" w:rsidRPr="00A8133F" w:rsidRDefault="001341FB" w:rsidP="007775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0B3F91" w14:textId="77777777" w:rsidR="008423E4" w:rsidRDefault="008423E4" w:rsidP="00777572"/>
          <w:p w14:paraId="7D792FD4" w14:textId="751AB9C1" w:rsidR="00D50E97" w:rsidRDefault="001341FB" w:rsidP="00777572">
            <w:pPr>
              <w:pStyle w:val="Header"/>
              <w:jc w:val="both"/>
            </w:pPr>
            <w:r w:rsidRPr="00D50E97">
              <w:t>COVID</w:t>
            </w:r>
            <w:r w:rsidR="0054486F">
              <w:t>-</w:t>
            </w:r>
            <w:r w:rsidRPr="00D50E97">
              <w:t xml:space="preserve">19-related job loss and economic hardship has affected </w:t>
            </w:r>
            <w:r w:rsidR="00074A9E">
              <w:t xml:space="preserve">the ability of </w:t>
            </w:r>
            <w:r w:rsidRPr="00D50E97">
              <w:t>many renters to pay rent during the pandemic</w:t>
            </w:r>
            <w:r w:rsidR="00074A9E">
              <w:t>,</w:t>
            </w:r>
            <w:r w:rsidRPr="00D50E97">
              <w:t xml:space="preserve"> </w:t>
            </w:r>
            <w:r w:rsidR="00074A9E">
              <w:t>and there are concerns that there will be</w:t>
            </w:r>
            <w:r w:rsidRPr="00D50E97">
              <w:t xml:space="preserve"> a surge of evictions once</w:t>
            </w:r>
            <w:r w:rsidR="00074A9E">
              <w:t xml:space="preserve"> eviction</w:t>
            </w:r>
            <w:r w:rsidRPr="00D50E97">
              <w:t xml:space="preserve"> protections are lifted. Whether a tenant is evicted</w:t>
            </w:r>
            <w:r w:rsidR="009C1B8D">
              <w:t>,</w:t>
            </w:r>
            <w:r w:rsidRPr="00D50E97">
              <w:t xml:space="preserve"> or</w:t>
            </w:r>
            <w:r w:rsidR="00074A9E">
              <w:t xml:space="preserve"> even</w:t>
            </w:r>
            <w:r w:rsidRPr="00D50E97">
              <w:t xml:space="preserve"> if the case is dismissed, the eviction filing will remain on </w:t>
            </w:r>
            <w:r w:rsidR="00074A9E">
              <w:t>the</w:t>
            </w:r>
            <w:r w:rsidRPr="00D50E97">
              <w:t xml:space="preserve"> tenant</w:t>
            </w:r>
            <w:r w:rsidR="0054486F">
              <w:t>'</w:t>
            </w:r>
            <w:r w:rsidRPr="00D50E97">
              <w:t>s record for seven years</w:t>
            </w:r>
            <w:r w:rsidR="009C1B8D">
              <w:t>, and since e</w:t>
            </w:r>
            <w:r w:rsidRPr="00D50E97">
              <w:t xml:space="preserve">victions are </w:t>
            </w:r>
            <w:r w:rsidRPr="00D50E97">
              <w:t xml:space="preserve">reported to tenant screening companies, </w:t>
            </w:r>
            <w:r w:rsidR="009C1B8D">
              <w:t xml:space="preserve">the tenant will have a </w:t>
            </w:r>
            <w:r w:rsidRPr="00D50E97">
              <w:t xml:space="preserve">harder </w:t>
            </w:r>
            <w:r w:rsidR="009C1B8D">
              <w:t xml:space="preserve">time </w:t>
            </w:r>
            <w:r w:rsidRPr="00D50E97">
              <w:t>rent</w:t>
            </w:r>
            <w:r w:rsidR="009C1B8D">
              <w:t>ing</w:t>
            </w:r>
            <w:r w:rsidRPr="00D50E97">
              <w:t xml:space="preserve"> elsewhere.</w:t>
            </w:r>
            <w:r w:rsidR="009C1B8D">
              <w:t xml:space="preserve"> </w:t>
            </w:r>
            <w:r>
              <w:t>Eviction records have a lasting</w:t>
            </w:r>
            <w:r w:rsidR="009C1B8D">
              <w:t xml:space="preserve"> </w:t>
            </w:r>
            <w:r>
              <w:t>impact on a tenant</w:t>
            </w:r>
            <w:r w:rsidR="0054486F">
              <w:t>'</w:t>
            </w:r>
            <w:r>
              <w:t xml:space="preserve">s ability to find housing, often exacerbating the financial problems that led to the tenant being evicted from </w:t>
            </w:r>
            <w:r>
              <w:t>their residence</w:t>
            </w:r>
            <w:r w:rsidR="009C1B8D">
              <w:t xml:space="preserve"> in the first place</w:t>
            </w:r>
            <w:r>
              <w:t>.</w:t>
            </w:r>
            <w:r w:rsidR="00B769BA">
              <w:t xml:space="preserve"> </w:t>
            </w:r>
            <w:r w:rsidR="009C1B8D">
              <w:t xml:space="preserve">C.S.H.B. 1647 seeks to </w:t>
            </w:r>
            <w:r>
              <w:t xml:space="preserve">provide relief to </w:t>
            </w:r>
            <w:r w:rsidR="00B769BA">
              <w:t xml:space="preserve">such </w:t>
            </w:r>
            <w:r>
              <w:t>tenants</w:t>
            </w:r>
            <w:r w:rsidR="00B769BA">
              <w:t xml:space="preserve"> by providing for the confidentiality of</w:t>
            </w:r>
            <w:r w:rsidRPr="00D50E97">
              <w:t xml:space="preserve"> eviction </w:t>
            </w:r>
            <w:r w:rsidR="009C1B8D" w:rsidRPr="00074A9E">
              <w:t>case information for evictions related to the COVID-19 pandemic.</w:t>
            </w:r>
          </w:p>
          <w:p w14:paraId="2CB87A64" w14:textId="77777777" w:rsidR="008423E4" w:rsidRPr="00E26B13" w:rsidRDefault="008423E4" w:rsidP="00777572">
            <w:pPr>
              <w:rPr>
                <w:b/>
              </w:rPr>
            </w:pPr>
          </w:p>
        </w:tc>
      </w:tr>
      <w:tr w:rsidR="008E689F" w14:paraId="32F479B0" w14:textId="77777777" w:rsidTr="00E65745">
        <w:tc>
          <w:tcPr>
            <w:tcW w:w="9360" w:type="dxa"/>
          </w:tcPr>
          <w:p w14:paraId="672935F8" w14:textId="77777777" w:rsidR="0017725B" w:rsidRDefault="001341FB" w:rsidP="007775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0855B8" w14:textId="77777777" w:rsidR="0017725B" w:rsidRDefault="0017725B" w:rsidP="00777572">
            <w:pPr>
              <w:rPr>
                <w:b/>
                <w:u w:val="single"/>
              </w:rPr>
            </w:pPr>
          </w:p>
          <w:p w14:paraId="61CD3986" w14:textId="77777777" w:rsidR="00D87183" w:rsidRPr="00D87183" w:rsidRDefault="001341FB" w:rsidP="00777572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924C70A" w14:textId="77777777" w:rsidR="0017725B" w:rsidRPr="0017725B" w:rsidRDefault="0017725B" w:rsidP="00777572">
            <w:pPr>
              <w:rPr>
                <w:b/>
                <w:u w:val="single"/>
              </w:rPr>
            </w:pPr>
          </w:p>
        </w:tc>
      </w:tr>
      <w:tr w:rsidR="008E689F" w14:paraId="39C7D972" w14:textId="77777777" w:rsidTr="00E65745">
        <w:tc>
          <w:tcPr>
            <w:tcW w:w="9360" w:type="dxa"/>
          </w:tcPr>
          <w:p w14:paraId="67ED3179" w14:textId="77777777" w:rsidR="008423E4" w:rsidRPr="00A8133F" w:rsidRDefault="001341FB" w:rsidP="007775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118FD550" w14:textId="77777777" w:rsidR="008423E4" w:rsidRDefault="008423E4" w:rsidP="00777572"/>
          <w:p w14:paraId="55F7162F" w14:textId="7EE482AA" w:rsidR="00D87183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Supreme Court in SECTION</w:t>
            </w:r>
            <w:r w:rsidR="009B1235">
              <w:t>S</w:t>
            </w:r>
            <w:r>
              <w:t xml:space="preserve"> 1 </w:t>
            </w:r>
            <w:r w:rsidR="009B1235">
              <w:t xml:space="preserve">and </w:t>
            </w:r>
            <w:r w:rsidR="009B1235" w:rsidRPr="0073537B">
              <w:t>2</w:t>
            </w:r>
            <w:r w:rsidR="009B1235">
              <w:t xml:space="preserve"> </w:t>
            </w:r>
            <w:r>
              <w:t>of this bill.</w:t>
            </w:r>
          </w:p>
          <w:p w14:paraId="031AE4CA" w14:textId="77777777" w:rsidR="008423E4" w:rsidRPr="00E21FDC" w:rsidRDefault="008423E4" w:rsidP="00777572">
            <w:pPr>
              <w:rPr>
                <w:b/>
              </w:rPr>
            </w:pPr>
          </w:p>
        </w:tc>
      </w:tr>
      <w:tr w:rsidR="008E689F" w14:paraId="308685EE" w14:textId="77777777" w:rsidTr="00E65745">
        <w:tc>
          <w:tcPr>
            <w:tcW w:w="9360" w:type="dxa"/>
          </w:tcPr>
          <w:p w14:paraId="42EDCFDF" w14:textId="77777777" w:rsidR="008423E4" w:rsidRPr="00A8133F" w:rsidRDefault="001341FB" w:rsidP="007775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4C663E" w14:textId="77777777" w:rsidR="008423E4" w:rsidRDefault="008423E4" w:rsidP="00777572"/>
          <w:p w14:paraId="65FB3642" w14:textId="674D113F" w:rsidR="00D87183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1647 amends the Property Code to require a court to enter </w:t>
            </w:r>
            <w:r w:rsidRPr="00D85881">
              <w:t>an or</w:t>
            </w:r>
            <w:r>
              <w:t xml:space="preserve">der </w:t>
            </w:r>
            <w:r w:rsidR="006E2936">
              <w:t>making the</w:t>
            </w:r>
            <w:r w:rsidRPr="00D85881">
              <w:t xml:space="preserve"> case information pertaining to the defendant</w:t>
            </w:r>
            <w:r>
              <w:t xml:space="preserve"> </w:t>
            </w:r>
            <w:r w:rsidR="00D95A8F" w:rsidRPr="00D87183">
              <w:t>in an eviction case</w:t>
            </w:r>
            <w:r w:rsidR="00D95A8F">
              <w:t xml:space="preserve"> </w:t>
            </w:r>
            <w:r w:rsidR="006E2936">
              <w:t>confidential</w:t>
            </w:r>
            <w:r w:rsidR="007C6161">
              <w:t>, either</w:t>
            </w:r>
            <w:r w:rsidR="006E2936">
              <w:t xml:space="preserve"> </w:t>
            </w:r>
            <w:r>
              <w:t xml:space="preserve">concurrently </w:t>
            </w:r>
            <w:r w:rsidRPr="00D85881">
              <w:t xml:space="preserve">with a final judgment or dismissal or on petition of </w:t>
            </w:r>
            <w:r>
              <w:t>the</w:t>
            </w:r>
            <w:r w:rsidRPr="00D85881">
              <w:t xml:space="preserve"> defendant after a final judgment or dismissal</w:t>
            </w:r>
            <w:r w:rsidR="007C6161">
              <w:t>,</w:t>
            </w:r>
            <w:r>
              <w:t xml:space="preserve"> under </w:t>
            </w:r>
            <w:r w:rsidR="000E70DF">
              <w:t xml:space="preserve">any of </w:t>
            </w:r>
            <w:r>
              <w:t>the following circumstances:</w:t>
            </w:r>
          </w:p>
          <w:p w14:paraId="715D64BB" w14:textId="77777777" w:rsidR="00D87183" w:rsidRDefault="001341FB" w:rsidP="0077757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85881">
              <w:t>the judgme</w:t>
            </w:r>
            <w:r w:rsidRPr="00D85881">
              <w:t>nt is or was entered in favor of the defendant;</w:t>
            </w:r>
          </w:p>
          <w:p w14:paraId="26EE4336" w14:textId="77777777" w:rsidR="00D87183" w:rsidRDefault="001341FB" w:rsidP="0077757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85881">
              <w:t>the eviction case is or was dismissed without any relief granted to the plaintiff;</w:t>
            </w:r>
          </w:p>
          <w:p w14:paraId="1D952A0A" w14:textId="77777777" w:rsidR="00D87183" w:rsidRDefault="001341FB" w:rsidP="0077757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85881">
              <w:t>the defendant is or was a tenant not otherwise in default and the eviction case was brought by the landlord's successor in in</w:t>
            </w:r>
            <w:r w:rsidRPr="00D85881">
              <w:t>terest following foreclosure; or</w:t>
            </w:r>
          </w:p>
          <w:p w14:paraId="7E7A76AE" w14:textId="77777777" w:rsidR="00D87183" w:rsidRDefault="001341FB" w:rsidP="0077757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85881">
              <w:t>at least three years have elapsed from the date of the final judgment in the eviction case.</w:t>
            </w:r>
          </w:p>
          <w:p w14:paraId="3B27E221" w14:textId="49381A9C" w:rsidR="00D87183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Apart from</w:t>
            </w:r>
            <w:r w:rsidR="004E63EB">
              <w:t xml:space="preserve"> those circumstances, a </w:t>
            </w:r>
            <w:r>
              <w:t xml:space="preserve">court </w:t>
            </w:r>
            <w:r w:rsidR="004E63EB">
              <w:t xml:space="preserve">may </w:t>
            </w:r>
            <w:r w:rsidR="006E2936">
              <w:t xml:space="preserve">enter an </w:t>
            </w:r>
            <w:r>
              <w:t xml:space="preserve">order </w:t>
            </w:r>
            <w:r w:rsidR="006E2936">
              <w:t>making</w:t>
            </w:r>
            <w:r w:rsidR="004E63EB">
              <w:t xml:space="preserve"> </w:t>
            </w:r>
            <w:r w:rsidR="00C5071B">
              <w:t xml:space="preserve">the </w:t>
            </w:r>
            <w:r w:rsidR="004E63EB">
              <w:t>case</w:t>
            </w:r>
            <w:r w:rsidR="006E2936">
              <w:t xml:space="preserve"> information confidential</w:t>
            </w:r>
            <w:r w:rsidR="004E63EB">
              <w:t xml:space="preserve"> </w:t>
            </w:r>
            <w:r>
              <w:t xml:space="preserve">if the court finds that </w:t>
            </w:r>
            <w:r w:rsidR="004E63EB">
              <w:t>it</w:t>
            </w:r>
            <w:r>
              <w:t xml:space="preserve"> </w:t>
            </w:r>
            <w:r w:rsidRPr="002E02D3">
              <w:t xml:space="preserve">is </w:t>
            </w:r>
            <w:r w:rsidRPr="002E02D3">
              <w:t>in the interest of justice</w:t>
            </w:r>
            <w:r>
              <w:t xml:space="preserve"> and </w:t>
            </w:r>
            <w:r w:rsidR="004E63EB">
              <w:t xml:space="preserve">that </w:t>
            </w:r>
            <w:r w:rsidRPr="002E02D3">
              <w:t>the interest of justice is not outweighed by the public's interest in knowing the eviction case information.</w:t>
            </w:r>
            <w:r>
              <w:t xml:space="preserve"> </w:t>
            </w:r>
          </w:p>
          <w:p w14:paraId="041ADBA4" w14:textId="77777777" w:rsidR="000E3BC0" w:rsidRDefault="000E3BC0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68D947" w14:textId="6EDB5F7C" w:rsidR="00D87183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If </w:t>
            </w:r>
            <w:r w:rsidR="00102BB3">
              <w:t>an</w:t>
            </w:r>
            <w:r>
              <w:t xml:space="preserve"> order </w:t>
            </w:r>
            <w:r w:rsidR="00E14080">
              <w:t>making the case information confidential</w:t>
            </w:r>
            <w:r>
              <w:t xml:space="preserve"> is entered, all courts </w:t>
            </w:r>
            <w:r w:rsidRPr="002E02D3">
              <w:t xml:space="preserve">or court clerks </w:t>
            </w:r>
            <w:r w:rsidR="00B358BF">
              <w:t xml:space="preserve">are required to </w:t>
            </w:r>
            <w:r w:rsidRPr="002E02D3">
              <w:t>d</w:t>
            </w:r>
            <w:r w:rsidRPr="002E02D3">
              <w:t xml:space="preserve">elete or redact </w:t>
            </w:r>
            <w:r w:rsidRPr="009B70A4">
              <w:t xml:space="preserve">from the public records </w:t>
            </w:r>
            <w:r w:rsidRPr="002E02D3">
              <w:t>all index references to the name of the defendant that relate to the eviction case information</w:t>
            </w:r>
            <w:r>
              <w:t>. The bill</w:t>
            </w:r>
            <w:r w:rsidR="009265EA">
              <w:t xml:space="preserve"> also</w:t>
            </w:r>
            <w:r>
              <w:t xml:space="preserve"> prohibits </w:t>
            </w:r>
            <w:r w:rsidRPr="009B70A4">
              <w:t>a credit reporting agency, a person who regularly collects and disseminates eviction case inform</w:t>
            </w:r>
            <w:r w:rsidRPr="009B70A4">
              <w:t>ation, or a person who sells eviction case information</w:t>
            </w:r>
            <w:r w:rsidR="00BF7F9E">
              <w:t>,</w:t>
            </w:r>
            <w:r>
              <w:t xml:space="preserve"> </w:t>
            </w:r>
            <w:r w:rsidR="00BF7F9E">
              <w:t xml:space="preserve">if such an order is entered, </w:t>
            </w:r>
            <w:r>
              <w:t xml:space="preserve">from disclosing the existence of the case or using the case information as a </w:t>
            </w:r>
            <w:r w:rsidRPr="009B70A4">
              <w:t>factor in determining a score or recommendation in a tenant screening report regarding the def</w:t>
            </w:r>
            <w:r w:rsidRPr="009B70A4">
              <w:t>endant.</w:t>
            </w:r>
            <w:r>
              <w:t xml:space="preserve"> The bill makes a person who </w:t>
            </w:r>
            <w:r w:rsidRPr="009B70A4">
              <w:t>knowingly violates</w:t>
            </w:r>
            <w:r>
              <w:t xml:space="preserve"> the</w:t>
            </w:r>
            <w:r w:rsidR="009265EA">
              <w:t>se provisions</w:t>
            </w:r>
            <w:r>
              <w:t xml:space="preserve"> liable to an injured party for </w:t>
            </w:r>
            <w:r w:rsidRPr="009B70A4">
              <w:t>actual damages</w:t>
            </w:r>
            <w:r>
              <w:t xml:space="preserve">, </w:t>
            </w:r>
            <w:r w:rsidRPr="009B70A4">
              <w:t>exemplary damages of $1,000</w:t>
            </w:r>
            <w:r>
              <w:t xml:space="preserve">, and reasonable attorney's fees and court costs. The bill requires a court to </w:t>
            </w:r>
            <w:r w:rsidRPr="009B70A4">
              <w:t>award exemplary damages</w:t>
            </w:r>
            <w:r>
              <w:t xml:space="preserve"> </w:t>
            </w:r>
            <w:r w:rsidRPr="009B70A4">
              <w:t xml:space="preserve">to the </w:t>
            </w:r>
            <w:r w:rsidRPr="009B70A4">
              <w:t xml:space="preserve">injured party irrespective of whether the </w:t>
            </w:r>
            <w:r>
              <w:t>party is awarded actual damages.</w:t>
            </w:r>
          </w:p>
          <w:p w14:paraId="72644332" w14:textId="77777777" w:rsidR="00D87183" w:rsidRDefault="00D87183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FD759F4" w14:textId="48D8ABF7" w:rsidR="006E7BFA" w:rsidRDefault="001341FB" w:rsidP="00777572">
            <w:pPr>
              <w:pStyle w:val="Header"/>
              <w:jc w:val="both"/>
            </w:pPr>
            <w:r>
              <w:t>C.S.</w:t>
            </w:r>
            <w:r w:rsidR="00A470B8">
              <w:t xml:space="preserve">H.B. 1647 </w:t>
            </w:r>
            <w:r>
              <w:t xml:space="preserve">limits </w:t>
            </w:r>
            <w:r w:rsidR="00D603BA">
              <w:t xml:space="preserve">the </w:t>
            </w:r>
            <w:r>
              <w:t xml:space="preserve">applicability of its provisions to an eviction case </w:t>
            </w:r>
            <w:r w:rsidR="00C80CD8">
              <w:t xml:space="preserve">in which an order making the case information confidential has not been entered and that is </w:t>
            </w:r>
            <w:r>
              <w:t>brought und</w:t>
            </w:r>
            <w:r>
              <w:t xml:space="preserve">er statutory provisions relating to </w:t>
            </w:r>
            <w:r w:rsidRPr="006E7BFA">
              <w:t>forcible entry and detainer</w:t>
            </w:r>
            <w:r>
              <w:t xml:space="preserve"> for nonpayment of rent during a state of disaster declared by the governor related to the coronavirus disease (COVID-19) pandemic as follows:</w:t>
            </w:r>
          </w:p>
          <w:p w14:paraId="2456535B" w14:textId="77777777" w:rsidR="006E7BFA" w:rsidRDefault="001341FB" w:rsidP="0077757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before the 180th day after the date of termination</w:t>
            </w:r>
            <w:r>
              <w:t xml:space="preserve"> of that state of disaster; or</w:t>
            </w:r>
          </w:p>
          <w:p w14:paraId="6C62FA04" w14:textId="24A432A3" w:rsidR="006E7BFA" w:rsidRDefault="001341FB" w:rsidP="0077757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against a defendant who files with the court a statement that the defendant's nonpayment of rent was due to financial hardship caused by the pandemic.</w:t>
            </w:r>
          </w:p>
          <w:p w14:paraId="0B72BD2B" w14:textId="349EAB30" w:rsidR="009C36CD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0E3BC0">
              <w:t xml:space="preserve">restricts </w:t>
            </w:r>
            <w:r w:rsidR="00AC7DDE" w:rsidRPr="00AC7DDE">
              <w:t xml:space="preserve">access </w:t>
            </w:r>
            <w:r w:rsidR="00760621">
              <w:t xml:space="preserve">to </w:t>
            </w:r>
            <w:r w:rsidR="00AC7DDE" w:rsidRPr="00AC7DDE">
              <w:t>information</w:t>
            </w:r>
            <w:r w:rsidR="00D87183">
              <w:t xml:space="preserve"> for an </w:t>
            </w:r>
            <w:r w:rsidR="00C80CD8">
              <w:t xml:space="preserve">applicable </w:t>
            </w:r>
            <w:r w:rsidR="00D87183">
              <w:t xml:space="preserve">eviction case </w:t>
            </w:r>
            <w:r w:rsidR="000E3BC0">
              <w:t>to the following</w:t>
            </w:r>
            <w:r w:rsidR="00760621">
              <w:t xml:space="preserve"> persons</w:t>
            </w:r>
            <w:r w:rsidR="00AC7DDE">
              <w:t>:</w:t>
            </w:r>
          </w:p>
          <w:p w14:paraId="4BCFD298" w14:textId="461A2675" w:rsidR="00AC7DDE" w:rsidRDefault="001341FB" w:rsidP="0077757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C7DDE">
              <w:t xml:space="preserve">a party to the action, including </w:t>
            </w:r>
            <w:r w:rsidR="00BB73D7">
              <w:t>the</w:t>
            </w:r>
            <w:r w:rsidR="005B1050">
              <w:t xml:space="preserve"> party's</w:t>
            </w:r>
            <w:r w:rsidRPr="00AC7DDE">
              <w:t xml:space="preserve"> attorney;</w:t>
            </w:r>
            <w:r w:rsidR="00FE331B">
              <w:t xml:space="preserve"> or</w:t>
            </w:r>
          </w:p>
          <w:p w14:paraId="7C54366C" w14:textId="4E9EE640" w:rsidR="00BF7EDA" w:rsidRDefault="001341FB" w:rsidP="0077757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C7DDE">
              <w:t>a</w:t>
            </w:r>
            <w:r w:rsidR="00FE331B">
              <w:t>ny</w:t>
            </w:r>
            <w:r w:rsidRPr="00AC7DDE">
              <w:t xml:space="preserve"> person</w:t>
            </w:r>
            <w:r w:rsidR="00FE331B">
              <w:t xml:space="preserve"> </w:t>
            </w:r>
            <w:r w:rsidR="00FE331B" w:rsidRPr="00FE331B">
              <w:t>if a final, nonappealable judgment in the case was entered for the plaintiff</w:t>
            </w:r>
            <w:r w:rsidRPr="00BF7EDA">
              <w:t>.</w:t>
            </w:r>
            <w:r>
              <w:t xml:space="preserve"> </w:t>
            </w:r>
          </w:p>
          <w:p w14:paraId="7509B7C9" w14:textId="6E7CD07C" w:rsidR="009B70A4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FE331B">
              <w:t xml:space="preserve"> credit reporting agency, a person who regularly collects and disseminates eviction case information, or a person who sells eviction case information may use </w:t>
            </w:r>
            <w:r w:rsidR="005B1050">
              <w:t>the</w:t>
            </w:r>
            <w:r w:rsidRPr="00FE331B">
              <w:t xml:space="preserve"> information </w:t>
            </w:r>
            <w:r w:rsidR="008C1B23" w:rsidRPr="00FE331B">
              <w:t xml:space="preserve">only </w:t>
            </w:r>
            <w:r w:rsidRPr="00FE331B">
              <w:t>if access is permitted</w:t>
            </w:r>
            <w:r w:rsidR="005B1050">
              <w:t xml:space="preserve"> </w:t>
            </w:r>
            <w:r w:rsidR="008C1B23">
              <w:t>to any person</w:t>
            </w:r>
            <w:r w:rsidRPr="00FE331B">
              <w:t>.</w:t>
            </w:r>
            <w:r w:rsidR="006E7BFA">
              <w:t xml:space="preserve"> </w:t>
            </w:r>
            <w:r w:rsidR="004937D6">
              <w:t>Th</w:t>
            </w:r>
            <w:r w:rsidR="00C80CD8">
              <w:t>e bill's</w:t>
            </w:r>
            <w:r w:rsidR="004937D6">
              <w:t xml:space="preserve"> restriction</w:t>
            </w:r>
            <w:r w:rsidR="00C80CD8">
              <w:t>s</w:t>
            </w:r>
            <w:r w:rsidR="004937D6">
              <w:t xml:space="preserve"> on access to case information may not be </w:t>
            </w:r>
            <w:r w:rsidR="004937D6" w:rsidRPr="00BF7EDA">
              <w:t>construed to prohibit the court from issuing an order that bars access to eviction case information if the parties to the case so stipulate</w:t>
            </w:r>
            <w:r w:rsidR="00DE48C5">
              <w:t xml:space="preserve"> </w:t>
            </w:r>
            <w:r w:rsidR="001825E2">
              <w:t xml:space="preserve">and do not apply </w:t>
            </w:r>
            <w:r w:rsidR="00DE48C5" w:rsidRPr="00DE48C5">
              <w:t>to an eviction case based on actions of the tenant that create an imminent threat to the health or safety of the landlord, a member of the landlord's or tenant's household, other tenants, or neighbors.</w:t>
            </w:r>
            <w:r w:rsidR="005C1FF5">
              <w:t xml:space="preserve"> </w:t>
            </w:r>
          </w:p>
          <w:p w14:paraId="10DC8B8A" w14:textId="77777777" w:rsidR="009B70A4" w:rsidRDefault="009B70A4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BBDDED0" w14:textId="77777777" w:rsidR="002E02D3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B70A4">
              <w:t xml:space="preserve">H.B. 1647 requires the </w:t>
            </w:r>
            <w:r w:rsidR="009B70A4" w:rsidRPr="009B70A4">
              <w:t>Texas Supreme Court</w:t>
            </w:r>
            <w:r w:rsidR="009B70A4">
              <w:t xml:space="preserve">, not later than </w:t>
            </w:r>
            <w:r w:rsidR="009B70A4" w:rsidRPr="009B70A4">
              <w:t>January 1, 2022,</w:t>
            </w:r>
            <w:r w:rsidR="009B70A4">
              <w:t xml:space="preserve"> to adopt rules necessary to implement the bill's provisions. </w:t>
            </w:r>
          </w:p>
          <w:p w14:paraId="77E1E7CC" w14:textId="63D3B46E" w:rsidR="00854B4C" w:rsidRPr="00835628" w:rsidRDefault="00854B4C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E689F" w14:paraId="1D76750C" w14:textId="77777777" w:rsidTr="00E65745">
        <w:tc>
          <w:tcPr>
            <w:tcW w:w="9360" w:type="dxa"/>
          </w:tcPr>
          <w:p w14:paraId="33CCC903" w14:textId="77777777" w:rsidR="008423E4" w:rsidRPr="00A8133F" w:rsidRDefault="001341FB" w:rsidP="007775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4851DA" w14:textId="77777777" w:rsidR="008423E4" w:rsidRDefault="008423E4" w:rsidP="00777572"/>
          <w:p w14:paraId="3B790943" w14:textId="77777777" w:rsidR="008423E4" w:rsidRPr="003624F2" w:rsidRDefault="001341FB" w:rsidP="007775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2D652CDA" w14:textId="77777777" w:rsidR="008423E4" w:rsidRPr="00233FDB" w:rsidRDefault="008423E4" w:rsidP="00777572">
            <w:pPr>
              <w:rPr>
                <w:b/>
              </w:rPr>
            </w:pPr>
          </w:p>
        </w:tc>
      </w:tr>
      <w:tr w:rsidR="008E689F" w14:paraId="736F7C02" w14:textId="77777777" w:rsidTr="00E65745">
        <w:tc>
          <w:tcPr>
            <w:tcW w:w="9360" w:type="dxa"/>
          </w:tcPr>
          <w:p w14:paraId="07D28183" w14:textId="77777777" w:rsidR="00E25786" w:rsidRDefault="001341FB" w:rsidP="007775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D11ABCF" w14:textId="77777777" w:rsidR="00933568" w:rsidRDefault="00933568" w:rsidP="00777572">
            <w:pPr>
              <w:jc w:val="both"/>
            </w:pPr>
          </w:p>
          <w:p w14:paraId="53B48F3C" w14:textId="1E61B178" w:rsidR="00933568" w:rsidRDefault="001341FB" w:rsidP="00777572">
            <w:pPr>
              <w:jc w:val="both"/>
            </w:pPr>
            <w:r>
              <w:t>While C.S.H.B. 1647 may differ from the original in minor or nonsubstantive ways, the following summarizes the subst</w:t>
            </w:r>
            <w:r>
              <w:t>antial differences between the introduced and committee substitute versions of the bill.</w:t>
            </w:r>
          </w:p>
          <w:p w14:paraId="24E205D0" w14:textId="27EE3E1B" w:rsidR="00933568" w:rsidRDefault="00933568" w:rsidP="00777572">
            <w:pPr>
              <w:jc w:val="both"/>
            </w:pPr>
          </w:p>
          <w:p w14:paraId="79D15E9B" w14:textId="45570B07" w:rsidR="00933568" w:rsidRDefault="001341FB" w:rsidP="00777572">
            <w:pPr>
              <w:jc w:val="both"/>
            </w:pPr>
            <w:r>
              <w:t>The substitute</w:t>
            </w:r>
            <w:r w:rsidR="004809C3">
              <w:t xml:space="preserve"> </w:t>
            </w:r>
            <w:r w:rsidR="004809C3" w:rsidRPr="004809C3">
              <w:t xml:space="preserve">changes the </w:t>
            </w:r>
            <w:r w:rsidR="004D25C7">
              <w:t xml:space="preserve">type of </w:t>
            </w:r>
            <w:r w:rsidR="004809C3" w:rsidRPr="004809C3">
              <w:t xml:space="preserve">order a court is required to enter from an order of limited dissemination of </w:t>
            </w:r>
            <w:r w:rsidR="00337104">
              <w:t xml:space="preserve">eviction </w:t>
            </w:r>
            <w:r w:rsidR="004809C3" w:rsidRPr="004809C3">
              <w:t>case information pertaining to the defendant to an order making the information confidential in the eviction case.</w:t>
            </w:r>
          </w:p>
          <w:p w14:paraId="0137C1E8" w14:textId="7D9D08F6" w:rsidR="004809C3" w:rsidRDefault="004809C3" w:rsidP="00777572">
            <w:pPr>
              <w:jc w:val="both"/>
            </w:pPr>
          </w:p>
          <w:p w14:paraId="0C6DC1FA" w14:textId="3CB84C5B" w:rsidR="001F1392" w:rsidRDefault="001341FB" w:rsidP="00777572">
            <w:pPr>
              <w:jc w:val="both"/>
            </w:pPr>
            <w:r>
              <w:t xml:space="preserve">The substitute </w:t>
            </w:r>
            <w:r w:rsidR="00414372">
              <w:t>limits</w:t>
            </w:r>
            <w:r w:rsidRPr="001F1392">
              <w:t xml:space="preserve"> the applicability of </w:t>
            </w:r>
            <w:r w:rsidR="00414372">
              <w:t>its</w:t>
            </w:r>
            <w:r w:rsidRPr="001F1392">
              <w:t xml:space="preserve"> </w:t>
            </w:r>
            <w:r w:rsidR="00252A4D">
              <w:t>provisions</w:t>
            </w:r>
            <w:r w:rsidRPr="001F1392">
              <w:t xml:space="preserve"> to certain eviction cases related to the coronavirus disease (COVID-19) pandemic and brought under statutory provisions relatin</w:t>
            </w:r>
            <w:r w:rsidRPr="001F1392">
              <w:t>g to forcible entry and detainer for nonpayment of rent</w:t>
            </w:r>
            <w:r>
              <w:t>.</w:t>
            </w:r>
          </w:p>
          <w:p w14:paraId="538FB88C" w14:textId="77777777" w:rsidR="001F1392" w:rsidRDefault="001F1392" w:rsidP="00777572">
            <w:pPr>
              <w:jc w:val="both"/>
            </w:pPr>
          </w:p>
          <w:p w14:paraId="55064D5A" w14:textId="374ED2CD" w:rsidR="00DA1675" w:rsidRDefault="001341FB" w:rsidP="00777572">
            <w:pPr>
              <w:jc w:val="both"/>
            </w:pPr>
            <w:r>
              <w:t>With respect to an eviction case in which an order making the case information confidential has not been entered, t</w:t>
            </w:r>
            <w:r w:rsidR="004809C3">
              <w:t xml:space="preserve">he substitute </w:t>
            </w:r>
            <w:r>
              <w:t>differs from the original as follows:</w:t>
            </w:r>
          </w:p>
          <w:p w14:paraId="5E5627FD" w14:textId="1D4AEFC2" w:rsidR="00DA1675" w:rsidRDefault="001341FB" w:rsidP="0077757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replaces</w:t>
            </w:r>
            <w:r w:rsidR="00416005">
              <w:t xml:space="preserve"> </w:t>
            </w:r>
            <w:r>
              <w:t>requirements for a cou</w:t>
            </w:r>
            <w:r>
              <w:t>rt clerk to allow access to</w:t>
            </w:r>
            <w:r w:rsidR="00416005">
              <w:t xml:space="preserve"> specified persons, other than a party or a party's attorney, under certain conditions</w:t>
            </w:r>
            <w:r>
              <w:t xml:space="preserve"> with</w:t>
            </w:r>
            <w:r w:rsidR="004809C3">
              <w:t xml:space="preserve"> </w:t>
            </w:r>
            <w:r w:rsidR="00416005">
              <w:t>a requirement to allow</w:t>
            </w:r>
            <w:r w:rsidR="00260902">
              <w:t xml:space="preserve"> access to </w:t>
            </w:r>
            <w:r w:rsidR="004809C3">
              <w:t>any person if a final, nonappealable judgment in the case was entered for the plaintiff</w:t>
            </w:r>
            <w:r>
              <w:t>;</w:t>
            </w:r>
          </w:p>
          <w:p w14:paraId="4211F36F" w14:textId="74C934FB" w:rsidR="009D3A9A" w:rsidRDefault="001341FB" w:rsidP="0077757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includes a </w:t>
            </w:r>
            <w:r>
              <w:t>provision</w:t>
            </w:r>
            <w:r w:rsidR="004809C3" w:rsidRPr="004809C3">
              <w:t xml:space="preserve"> limit</w:t>
            </w:r>
            <w:r>
              <w:t>ing</w:t>
            </w:r>
            <w:r w:rsidR="004809C3" w:rsidRPr="004809C3">
              <w:t xml:space="preserve"> the use of eviction case information by</w:t>
            </w:r>
            <w:r w:rsidR="005C1FF5">
              <w:t xml:space="preserve"> a</w:t>
            </w:r>
            <w:r w:rsidR="004809C3" w:rsidRPr="004809C3">
              <w:t xml:space="preserve"> credit reporting agency, a person who regularly collects and disseminates eviction case information, or a person who sells eviction case information </w:t>
            </w:r>
            <w:r>
              <w:t xml:space="preserve">to </w:t>
            </w:r>
            <w:r w:rsidR="00310B65">
              <w:t xml:space="preserve">cases in which a </w:t>
            </w:r>
            <w:r w:rsidR="00310B65" w:rsidRPr="00310B65">
              <w:t>final, nonappealable judgment in the case was entered for the plaintiff</w:t>
            </w:r>
            <w:r>
              <w:t xml:space="preserve">; </w:t>
            </w:r>
          </w:p>
          <w:p w14:paraId="4A83247F" w14:textId="256D97D8" w:rsidR="004809C3" w:rsidRDefault="001341FB" w:rsidP="0077757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excludes from</w:t>
            </w:r>
            <w:r w:rsidRPr="004809C3">
              <w:t xml:space="preserve"> </w:t>
            </w:r>
            <w:r>
              <w:t>case information</w:t>
            </w:r>
            <w:r w:rsidRPr="004809C3">
              <w:t xml:space="preserve"> </w:t>
            </w:r>
            <w:r>
              <w:t xml:space="preserve">access </w:t>
            </w:r>
            <w:r w:rsidRPr="004809C3">
              <w:t>restriction</w:t>
            </w:r>
            <w:r>
              <w:t>s</w:t>
            </w:r>
            <w:r w:rsidRPr="004809C3">
              <w:t xml:space="preserve"> an eviction case based on actions of the tenant that create an imminent threat to the health or safety of the landlord, a member of the landlord's or tenant'</w:t>
            </w:r>
            <w:r w:rsidRPr="004809C3">
              <w:t>s household, other tenants, or neighbors</w:t>
            </w:r>
            <w:r w:rsidR="00310B65">
              <w:t>; and</w:t>
            </w:r>
          </w:p>
          <w:p w14:paraId="1A328490" w14:textId="0E40182A" w:rsidR="004809C3" w:rsidRDefault="001341FB" w:rsidP="0077757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does not include the following:</w:t>
            </w:r>
          </w:p>
          <w:p w14:paraId="6FBED0E9" w14:textId="08E565F7" w:rsidR="008C170C" w:rsidRDefault="001341FB" w:rsidP="00777572">
            <w:pPr>
              <w:pStyle w:val="ListParagraph"/>
              <w:numPr>
                <w:ilvl w:val="1"/>
                <w:numId w:val="8"/>
              </w:numPr>
              <w:jc w:val="both"/>
            </w:pPr>
            <w:r>
              <w:t>a provision establishing what constitutes good cause for access to eviction case information;</w:t>
            </w:r>
            <w:r w:rsidR="007B2C27">
              <w:t xml:space="preserve"> and</w:t>
            </w:r>
          </w:p>
          <w:p w14:paraId="4F93C814" w14:textId="73B403CC" w:rsidR="00933568" w:rsidRPr="00933568" w:rsidRDefault="001341FB" w:rsidP="00777572">
            <w:pPr>
              <w:pStyle w:val="ListParagraph"/>
              <w:numPr>
                <w:ilvl w:val="1"/>
                <w:numId w:val="8"/>
              </w:numPr>
              <w:jc w:val="both"/>
            </w:pPr>
            <w:r>
              <w:t>require</w:t>
            </w:r>
            <w:r w:rsidR="00EE75F6">
              <w:t>ments for</w:t>
            </w:r>
            <w:r w:rsidR="004809C3">
              <w:t xml:space="preserve"> the court clerk to </w:t>
            </w:r>
            <w:r w:rsidR="00EE75F6">
              <w:t>provide certain noti</w:t>
            </w:r>
            <w:r w:rsidR="004809C3">
              <w:t xml:space="preserve">ce </w:t>
            </w:r>
            <w:r w:rsidR="00EE75F6">
              <w:t xml:space="preserve">to each defendant named in an eviction case </w:t>
            </w:r>
            <w:r w:rsidR="004809C3">
              <w:t xml:space="preserve">after </w:t>
            </w:r>
            <w:r w:rsidR="00EE75F6">
              <w:t>the</w:t>
            </w:r>
            <w:r w:rsidR="004809C3">
              <w:t xml:space="preserve"> case is filed</w:t>
            </w:r>
            <w:r w:rsidR="00EE75F6">
              <w:t>, including requirements for the notice's content and method of delivery</w:t>
            </w:r>
            <w:r w:rsidR="004809C3">
              <w:t>.</w:t>
            </w:r>
          </w:p>
        </w:tc>
      </w:tr>
      <w:tr w:rsidR="008E689F" w14:paraId="3DC8ECD0" w14:textId="77777777" w:rsidTr="00E65745">
        <w:tc>
          <w:tcPr>
            <w:tcW w:w="9360" w:type="dxa"/>
          </w:tcPr>
          <w:p w14:paraId="7D62439E" w14:textId="77777777" w:rsidR="00E25786" w:rsidRPr="009C1E9A" w:rsidRDefault="00E25786" w:rsidP="00777572">
            <w:pPr>
              <w:rPr>
                <w:b/>
                <w:u w:val="single"/>
              </w:rPr>
            </w:pPr>
          </w:p>
        </w:tc>
      </w:tr>
    </w:tbl>
    <w:p w14:paraId="7BD8536E" w14:textId="77777777" w:rsidR="004108C3" w:rsidRPr="008423E4" w:rsidRDefault="004108C3" w:rsidP="0077757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7B51" w14:textId="77777777" w:rsidR="00000000" w:rsidRDefault="001341FB">
      <w:r>
        <w:separator/>
      </w:r>
    </w:p>
  </w:endnote>
  <w:endnote w:type="continuationSeparator" w:id="0">
    <w:p w14:paraId="783131B8" w14:textId="77777777" w:rsidR="00000000" w:rsidRDefault="001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F15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689F" w14:paraId="5634125C" w14:textId="77777777" w:rsidTr="009C1E9A">
      <w:trPr>
        <w:cantSplit/>
      </w:trPr>
      <w:tc>
        <w:tcPr>
          <w:tcW w:w="0" w:type="pct"/>
        </w:tcPr>
        <w:p w14:paraId="79AC63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60F2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4B4B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A196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0A9C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89F" w14:paraId="1E37E0E6" w14:textId="77777777" w:rsidTr="009C1E9A">
      <w:trPr>
        <w:cantSplit/>
      </w:trPr>
      <w:tc>
        <w:tcPr>
          <w:tcW w:w="0" w:type="pct"/>
        </w:tcPr>
        <w:p w14:paraId="26B125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F74275" w14:textId="371F1CC1" w:rsidR="00EC379B" w:rsidRPr="009C1E9A" w:rsidRDefault="001341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19097</w:t>
          </w:r>
        </w:p>
      </w:tc>
      <w:tc>
        <w:tcPr>
          <w:tcW w:w="2453" w:type="pct"/>
        </w:tcPr>
        <w:p w14:paraId="4CBD88DA" w14:textId="744914C4" w:rsidR="00EC379B" w:rsidRDefault="001341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4AD5">
            <w:t>21.100.164</w:t>
          </w:r>
          <w:r>
            <w:fldChar w:fldCharType="end"/>
          </w:r>
        </w:p>
      </w:tc>
    </w:tr>
    <w:tr w:rsidR="008E689F" w14:paraId="7D9CAB7D" w14:textId="77777777" w:rsidTr="009C1E9A">
      <w:trPr>
        <w:cantSplit/>
      </w:trPr>
      <w:tc>
        <w:tcPr>
          <w:tcW w:w="0" w:type="pct"/>
        </w:tcPr>
        <w:p w14:paraId="60BB98E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E54BA8" w14:textId="237123F6" w:rsidR="00EC379B" w:rsidRPr="009C1E9A" w:rsidRDefault="001341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16484</w:t>
          </w:r>
        </w:p>
      </w:tc>
      <w:tc>
        <w:tcPr>
          <w:tcW w:w="2453" w:type="pct"/>
        </w:tcPr>
        <w:p w14:paraId="529423E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3328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89F" w14:paraId="3390E3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6BE519" w14:textId="5D2B7B98" w:rsidR="00EC379B" w:rsidRDefault="001341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4A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C40F8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7F4ED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23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E8BF" w14:textId="77777777" w:rsidR="00000000" w:rsidRDefault="001341FB">
      <w:r>
        <w:separator/>
      </w:r>
    </w:p>
  </w:footnote>
  <w:footnote w:type="continuationSeparator" w:id="0">
    <w:p w14:paraId="3FB80E82" w14:textId="77777777" w:rsidR="00000000" w:rsidRDefault="001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89B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B4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62D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0B5"/>
    <w:multiLevelType w:val="hybridMultilevel"/>
    <w:tmpl w:val="E1EA71BE"/>
    <w:lvl w:ilvl="0" w:tplc="ABB24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E7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2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F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E7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4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7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E0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038"/>
    <w:multiLevelType w:val="hybridMultilevel"/>
    <w:tmpl w:val="D98E9A6C"/>
    <w:lvl w:ilvl="0" w:tplc="9CD2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4D8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A2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AA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6B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85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4B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C8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A9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9CE"/>
    <w:multiLevelType w:val="hybridMultilevel"/>
    <w:tmpl w:val="069CE6B6"/>
    <w:lvl w:ilvl="0" w:tplc="C3761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84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46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02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C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81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07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4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E3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AD2"/>
    <w:multiLevelType w:val="hybridMultilevel"/>
    <w:tmpl w:val="61F2D4F6"/>
    <w:lvl w:ilvl="0" w:tplc="C46AA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6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A5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7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0F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B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09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D16"/>
    <w:multiLevelType w:val="hybridMultilevel"/>
    <w:tmpl w:val="5BE6F94A"/>
    <w:lvl w:ilvl="0" w:tplc="787C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EC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6E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64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C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EA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8C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01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24429"/>
    <w:multiLevelType w:val="hybridMultilevel"/>
    <w:tmpl w:val="210AF41E"/>
    <w:lvl w:ilvl="0" w:tplc="C4E2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8E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2C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CD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A2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E5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C1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6D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8C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2F3E"/>
    <w:multiLevelType w:val="hybridMultilevel"/>
    <w:tmpl w:val="3FC2454E"/>
    <w:lvl w:ilvl="0" w:tplc="F3F49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C1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60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0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AB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E3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F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E0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08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0C47"/>
    <w:multiLevelType w:val="hybridMultilevel"/>
    <w:tmpl w:val="86E20828"/>
    <w:lvl w:ilvl="0" w:tplc="FEBE6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9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0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7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0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C6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0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F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AD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B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A9E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B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BC0"/>
    <w:rsid w:val="000E5B20"/>
    <w:rsid w:val="000E70DF"/>
    <w:rsid w:val="000E7C14"/>
    <w:rsid w:val="000F08FB"/>
    <w:rsid w:val="000F094C"/>
    <w:rsid w:val="000F18A2"/>
    <w:rsid w:val="000F2A7F"/>
    <w:rsid w:val="000F3DBD"/>
    <w:rsid w:val="000F5843"/>
    <w:rsid w:val="000F6A06"/>
    <w:rsid w:val="0010154D"/>
    <w:rsid w:val="00102BB3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607"/>
    <w:rsid w:val="001312BB"/>
    <w:rsid w:val="001341FB"/>
    <w:rsid w:val="00137D90"/>
    <w:rsid w:val="00141C63"/>
    <w:rsid w:val="00141FB6"/>
    <w:rsid w:val="00142F8E"/>
    <w:rsid w:val="00143838"/>
    <w:rsid w:val="00143C8B"/>
    <w:rsid w:val="00147530"/>
    <w:rsid w:val="0015331F"/>
    <w:rsid w:val="00156AB2"/>
    <w:rsid w:val="001573ED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F02"/>
    <w:rsid w:val="0017347B"/>
    <w:rsid w:val="0017725B"/>
    <w:rsid w:val="0018050C"/>
    <w:rsid w:val="0018117F"/>
    <w:rsid w:val="001824ED"/>
    <w:rsid w:val="001825E2"/>
    <w:rsid w:val="00183262"/>
    <w:rsid w:val="00184B03"/>
    <w:rsid w:val="00185C59"/>
    <w:rsid w:val="00187C1B"/>
    <w:rsid w:val="001908AC"/>
    <w:rsid w:val="00190CFB"/>
    <w:rsid w:val="00192783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441"/>
    <w:rsid w:val="001B75B8"/>
    <w:rsid w:val="001C1230"/>
    <w:rsid w:val="001C2D26"/>
    <w:rsid w:val="001C60B5"/>
    <w:rsid w:val="001C61B0"/>
    <w:rsid w:val="001C7957"/>
    <w:rsid w:val="001C7DB8"/>
    <w:rsid w:val="001C7EA8"/>
    <w:rsid w:val="001D1711"/>
    <w:rsid w:val="001D1A2D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39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1E4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A4D"/>
    <w:rsid w:val="00255EB6"/>
    <w:rsid w:val="00257429"/>
    <w:rsid w:val="00260902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31"/>
    <w:rsid w:val="002734D6"/>
    <w:rsid w:val="00274C45"/>
    <w:rsid w:val="00275109"/>
    <w:rsid w:val="00275BEE"/>
    <w:rsid w:val="00277434"/>
    <w:rsid w:val="002777F2"/>
    <w:rsid w:val="00280123"/>
    <w:rsid w:val="00281343"/>
    <w:rsid w:val="00281883"/>
    <w:rsid w:val="002874E3"/>
    <w:rsid w:val="00287656"/>
    <w:rsid w:val="00290F0F"/>
    <w:rsid w:val="00291518"/>
    <w:rsid w:val="00296FF0"/>
    <w:rsid w:val="002A13E4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ED1"/>
    <w:rsid w:val="002D05CC"/>
    <w:rsid w:val="002D305A"/>
    <w:rsid w:val="002E02D3"/>
    <w:rsid w:val="002E0FE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B6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104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DAA"/>
    <w:rsid w:val="0038731D"/>
    <w:rsid w:val="00387B60"/>
    <w:rsid w:val="00390098"/>
    <w:rsid w:val="00392DA1"/>
    <w:rsid w:val="00393718"/>
    <w:rsid w:val="00394C48"/>
    <w:rsid w:val="003A0296"/>
    <w:rsid w:val="003A10BC"/>
    <w:rsid w:val="003B006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372"/>
    <w:rsid w:val="00415139"/>
    <w:rsid w:val="00416005"/>
    <w:rsid w:val="004166BB"/>
    <w:rsid w:val="004174CD"/>
    <w:rsid w:val="004241AA"/>
    <w:rsid w:val="0042422E"/>
    <w:rsid w:val="00426230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9C3"/>
    <w:rsid w:val="004824A7"/>
    <w:rsid w:val="00483AF0"/>
    <w:rsid w:val="00484167"/>
    <w:rsid w:val="00492211"/>
    <w:rsid w:val="00492325"/>
    <w:rsid w:val="00492A6D"/>
    <w:rsid w:val="004937D6"/>
    <w:rsid w:val="00494303"/>
    <w:rsid w:val="0049682B"/>
    <w:rsid w:val="004A03F7"/>
    <w:rsid w:val="004A081C"/>
    <w:rsid w:val="004A123F"/>
    <w:rsid w:val="004A2172"/>
    <w:rsid w:val="004A5EC6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5C7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3EB"/>
    <w:rsid w:val="004E6639"/>
    <w:rsid w:val="004E6BAE"/>
    <w:rsid w:val="004F1E15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86F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050"/>
    <w:rsid w:val="005B3298"/>
    <w:rsid w:val="005B5516"/>
    <w:rsid w:val="005B5D2B"/>
    <w:rsid w:val="005C1496"/>
    <w:rsid w:val="005C17C5"/>
    <w:rsid w:val="005C1FF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880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2C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936"/>
    <w:rsid w:val="006E30A8"/>
    <w:rsid w:val="006E4280"/>
    <w:rsid w:val="006E45B0"/>
    <w:rsid w:val="006E5692"/>
    <w:rsid w:val="006E7BFA"/>
    <w:rsid w:val="006F00B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37B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621"/>
    <w:rsid w:val="00764786"/>
    <w:rsid w:val="00766E12"/>
    <w:rsid w:val="0077098E"/>
    <w:rsid w:val="00771287"/>
    <w:rsid w:val="0077149E"/>
    <w:rsid w:val="00777518"/>
    <w:rsid w:val="00777572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110"/>
    <w:rsid w:val="007A0989"/>
    <w:rsid w:val="007A331F"/>
    <w:rsid w:val="007A3844"/>
    <w:rsid w:val="007A4381"/>
    <w:rsid w:val="007A5466"/>
    <w:rsid w:val="007A7EC1"/>
    <w:rsid w:val="007B2C27"/>
    <w:rsid w:val="007B4FCA"/>
    <w:rsid w:val="007B7B85"/>
    <w:rsid w:val="007C462E"/>
    <w:rsid w:val="007C496B"/>
    <w:rsid w:val="007C6161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B4C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70C"/>
    <w:rsid w:val="008C1B23"/>
    <w:rsid w:val="008C3FD0"/>
    <w:rsid w:val="008D27A5"/>
    <w:rsid w:val="008D2AAB"/>
    <w:rsid w:val="008D309C"/>
    <w:rsid w:val="008D58F9"/>
    <w:rsid w:val="008E3338"/>
    <w:rsid w:val="008E47BE"/>
    <w:rsid w:val="008E689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5EA"/>
    <w:rsid w:val="00930897"/>
    <w:rsid w:val="009320D2"/>
    <w:rsid w:val="00932C77"/>
    <w:rsid w:val="00933568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A8F"/>
    <w:rsid w:val="009A1883"/>
    <w:rsid w:val="009A32C4"/>
    <w:rsid w:val="009A39F5"/>
    <w:rsid w:val="009A4588"/>
    <w:rsid w:val="009A5EA5"/>
    <w:rsid w:val="009B00C2"/>
    <w:rsid w:val="009B0854"/>
    <w:rsid w:val="009B1235"/>
    <w:rsid w:val="009B26AB"/>
    <w:rsid w:val="009B3476"/>
    <w:rsid w:val="009B39BC"/>
    <w:rsid w:val="009B5069"/>
    <w:rsid w:val="009B69AD"/>
    <w:rsid w:val="009B70A4"/>
    <w:rsid w:val="009B7806"/>
    <w:rsid w:val="009C05C1"/>
    <w:rsid w:val="009C1B8D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A9A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4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0B4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0B8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DDE"/>
    <w:rsid w:val="00AD304B"/>
    <w:rsid w:val="00AD4497"/>
    <w:rsid w:val="00AD7780"/>
    <w:rsid w:val="00AE2263"/>
    <w:rsid w:val="00AE248E"/>
    <w:rsid w:val="00AE2D12"/>
    <w:rsid w:val="00AE2F06"/>
    <w:rsid w:val="00AE4AD5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8B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9B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3D7"/>
    <w:rsid w:val="00BC027B"/>
    <w:rsid w:val="00BC1FB5"/>
    <w:rsid w:val="00BC2006"/>
    <w:rsid w:val="00BC306C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89F"/>
    <w:rsid w:val="00BF7EDA"/>
    <w:rsid w:val="00BF7F9E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900"/>
    <w:rsid w:val="00C4710D"/>
    <w:rsid w:val="00C5071B"/>
    <w:rsid w:val="00C50CAD"/>
    <w:rsid w:val="00C518D4"/>
    <w:rsid w:val="00C54F0C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CD8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17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48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54E"/>
    <w:rsid w:val="00D30534"/>
    <w:rsid w:val="00D30D1E"/>
    <w:rsid w:val="00D35728"/>
    <w:rsid w:val="00D37BCF"/>
    <w:rsid w:val="00D40F93"/>
    <w:rsid w:val="00D42277"/>
    <w:rsid w:val="00D43C59"/>
    <w:rsid w:val="00D44ADE"/>
    <w:rsid w:val="00D50D65"/>
    <w:rsid w:val="00D50E97"/>
    <w:rsid w:val="00D512E0"/>
    <w:rsid w:val="00D519F3"/>
    <w:rsid w:val="00D51D2A"/>
    <w:rsid w:val="00D53B7C"/>
    <w:rsid w:val="00D55F52"/>
    <w:rsid w:val="00D56508"/>
    <w:rsid w:val="00D603BA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E40"/>
    <w:rsid w:val="00D76631"/>
    <w:rsid w:val="00D768B7"/>
    <w:rsid w:val="00D77492"/>
    <w:rsid w:val="00D811E8"/>
    <w:rsid w:val="00D81A44"/>
    <w:rsid w:val="00D83072"/>
    <w:rsid w:val="00D83ABC"/>
    <w:rsid w:val="00D84870"/>
    <w:rsid w:val="00D85881"/>
    <w:rsid w:val="00D87183"/>
    <w:rsid w:val="00D91B92"/>
    <w:rsid w:val="00D926B3"/>
    <w:rsid w:val="00D92F63"/>
    <w:rsid w:val="00D947B6"/>
    <w:rsid w:val="00D95A8F"/>
    <w:rsid w:val="00D97E00"/>
    <w:rsid w:val="00DA00BC"/>
    <w:rsid w:val="00DA0E22"/>
    <w:rsid w:val="00DA1675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788"/>
    <w:rsid w:val="00DD5BCC"/>
    <w:rsid w:val="00DD7509"/>
    <w:rsid w:val="00DD79C7"/>
    <w:rsid w:val="00DD7D6E"/>
    <w:rsid w:val="00DE34B2"/>
    <w:rsid w:val="00DE48C5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080"/>
    <w:rsid w:val="00E15F90"/>
    <w:rsid w:val="00E16D3E"/>
    <w:rsid w:val="00E17167"/>
    <w:rsid w:val="00E20520"/>
    <w:rsid w:val="00E21D55"/>
    <w:rsid w:val="00E21FDC"/>
    <w:rsid w:val="00E2551E"/>
    <w:rsid w:val="00E25786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74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DAC"/>
    <w:rsid w:val="00E96852"/>
    <w:rsid w:val="00EA16AC"/>
    <w:rsid w:val="00EA385A"/>
    <w:rsid w:val="00EA3931"/>
    <w:rsid w:val="00EA658E"/>
    <w:rsid w:val="00EA7A88"/>
    <w:rsid w:val="00EB27F2"/>
    <w:rsid w:val="00EB3928"/>
    <w:rsid w:val="00EB5028"/>
    <w:rsid w:val="00EB5373"/>
    <w:rsid w:val="00EC02A2"/>
    <w:rsid w:val="00EC379B"/>
    <w:rsid w:val="00EC37DF"/>
    <w:rsid w:val="00EC3B35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48"/>
    <w:rsid w:val="00EE43A2"/>
    <w:rsid w:val="00EE46B7"/>
    <w:rsid w:val="00EE5A49"/>
    <w:rsid w:val="00EE664B"/>
    <w:rsid w:val="00EE75F6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F8C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83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31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C26"/>
    <w:rsid w:val="00FF517B"/>
    <w:rsid w:val="00FF562D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4D4C7F-A161-4663-A903-7ED2DA9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1E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E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E15"/>
    <w:rPr>
      <w:b/>
      <w:bCs/>
    </w:rPr>
  </w:style>
  <w:style w:type="paragraph" w:styleId="ListParagraph">
    <w:name w:val="List Paragraph"/>
    <w:basedOn w:val="Normal"/>
    <w:uiPriority w:val="34"/>
    <w:qFormat/>
    <w:rsid w:val="004D25C7"/>
    <w:pPr>
      <w:ind w:left="720"/>
      <w:contextualSpacing/>
    </w:pPr>
  </w:style>
  <w:style w:type="paragraph" w:styleId="Revision">
    <w:name w:val="Revision"/>
    <w:hidden/>
    <w:uiPriority w:val="99"/>
    <w:semiHidden/>
    <w:rsid w:val="00544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5984</Characters>
  <Application>Microsoft Office Word</Application>
  <DocSecurity>4</DocSecurity>
  <Lines>119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HB01647 (Committee Report (Substituted))</vt:lpstr>
    </vt:vector>
  </TitlesOfParts>
  <Company>State of Texas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19097</dc:subject>
  <dc:creator>State of Texas</dc:creator>
  <dc:description>HB 1647 by Walle-(H)Business &amp; Industry (Substitute Document Number: 87R 16484)</dc:description>
  <cp:lastModifiedBy>Emma Bodisch</cp:lastModifiedBy>
  <cp:revision>2</cp:revision>
  <cp:lastPrinted>2003-11-26T17:21:00Z</cp:lastPrinted>
  <dcterms:created xsi:type="dcterms:W3CDTF">2021-04-14T23:09:00Z</dcterms:created>
  <dcterms:modified xsi:type="dcterms:W3CDTF">2021-04-14T23:09:00Z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21.100.164</vt:lpwstr>
  </property>
</Properties>
</file>