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B745E" w14:paraId="69767720" w14:textId="77777777" w:rsidTr="00345119">
        <w:tc>
          <w:tcPr>
            <w:tcW w:w="9576" w:type="dxa"/>
            <w:noWrap/>
          </w:tcPr>
          <w:p w14:paraId="0D1E963E" w14:textId="77777777" w:rsidR="008423E4" w:rsidRPr="0022177D" w:rsidRDefault="00EB51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C50615" w14:textId="77777777" w:rsidR="008423E4" w:rsidRPr="0022177D" w:rsidRDefault="008423E4" w:rsidP="008423E4">
      <w:pPr>
        <w:jc w:val="center"/>
      </w:pPr>
    </w:p>
    <w:p w14:paraId="218705FC" w14:textId="77777777" w:rsidR="008423E4" w:rsidRPr="00B31F0E" w:rsidRDefault="008423E4" w:rsidP="008423E4"/>
    <w:p w14:paraId="53FD4A6C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745E" w14:paraId="6ADF0032" w14:textId="77777777" w:rsidTr="00345119">
        <w:tc>
          <w:tcPr>
            <w:tcW w:w="9576" w:type="dxa"/>
          </w:tcPr>
          <w:p w14:paraId="371CE737" w14:textId="6F13BE65" w:rsidR="008423E4" w:rsidRPr="00861995" w:rsidRDefault="00EB51C2" w:rsidP="00345119">
            <w:pPr>
              <w:jc w:val="right"/>
            </w:pPr>
            <w:r>
              <w:t>H.B. 1679</w:t>
            </w:r>
          </w:p>
        </w:tc>
      </w:tr>
      <w:tr w:rsidR="00AB745E" w14:paraId="051053AA" w14:textId="77777777" w:rsidTr="00345119">
        <w:tc>
          <w:tcPr>
            <w:tcW w:w="9576" w:type="dxa"/>
          </w:tcPr>
          <w:p w14:paraId="0817687E" w14:textId="64185E73" w:rsidR="008423E4" w:rsidRPr="00861995" w:rsidRDefault="00EB51C2" w:rsidP="000A37F9">
            <w:pPr>
              <w:jc w:val="right"/>
            </w:pPr>
            <w:r>
              <w:t xml:space="preserve">By: </w:t>
            </w:r>
            <w:r w:rsidR="000A37F9">
              <w:t>Romero, Jr.</w:t>
            </w:r>
          </w:p>
        </w:tc>
      </w:tr>
      <w:tr w:rsidR="00AB745E" w14:paraId="1411121F" w14:textId="77777777" w:rsidTr="00345119">
        <w:tc>
          <w:tcPr>
            <w:tcW w:w="9576" w:type="dxa"/>
          </w:tcPr>
          <w:p w14:paraId="5E664279" w14:textId="2C1C2A28" w:rsidR="008423E4" w:rsidRPr="00861995" w:rsidRDefault="00EB51C2" w:rsidP="00345119">
            <w:pPr>
              <w:jc w:val="right"/>
            </w:pPr>
            <w:r>
              <w:t>Business &amp; Industry</w:t>
            </w:r>
          </w:p>
        </w:tc>
      </w:tr>
      <w:tr w:rsidR="00AB745E" w14:paraId="4FC980B7" w14:textId="77777777" w:rsidTr="00345119">
        <w:tc>
          <w:tcPr>
            <w:tcW w:w="9576" w:type="dxa"/>
          </w:tcPr>
          <w:p w14:paraId="6DF0F3E5" w14:textId="56EEB963" w:rsidR="008423E4" w:rsidRDefault="00EB51C2" w:rsidP="00345119">
            <w:pPr>
              <w:jc w:val="right"/>
            </w:pPr>
            <w:r>
              <w:t>Committee Report (Unamended)</w:t>
            </w:r>
          </w:p>
        </w:tc>
      </w:tr>
    </w:tbl>
    <w:p w14:paraId="005BD54F" w14:textId="77777777" w:rsidR="008423E4" w:rsidRDefault="008423E4" w:rsidP="008423E4">
      <w:pPr>
        <w:tabs>
          <w:tab w:val="right" w:pos="9360"/>
        </w:tabs>
      </w:pPr>
    </w:p>
    <w:p w14:paraId="5E12EF98" w14:textId="77777777" w:rsidR="008423E4" w:rsidRDefault="008423E4" w:rsidP="008423E4"/>
    <w:p w14:paraId="177E876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B745E" w14:paraId="09D1C9A5" w14:textId="77777777" w:rsidTr="00345119">
        <w:tc>
          <w:tcPr>
            <w:tcW w:w="9576" w:type="dxa"/>
          </w:tcPr>
          <w:p w14:paraId="6C1CE224" w14:textId="77777777" w:rsidR="008423E4" w:rsidRPr="00A8133F" w:rsidRDefault="00EB51C2" w:rsidP="00E1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1C5E9D" w14:textId="77777777" w:rsidR="008423E4" w:rsidRDefault="008423E4" w:rsidP="00E10EFE"/>
          <w:p w14:paraId="7A667749" w14:textId="2BCF60C8" w:rsidR="008423E4" w:rsidRDefault="00EB51C2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0A37F9" w:rsidRPr="000A37F9">
              <w:t>oncern</w:t>
            </w:r>
            <w:r>
              <w:t>s have been raised</w:t>
            </w:r>
            <w:r w:rsidR="000A37F9" w:rsidRPr="000A37F9">
              <w:t xml:space="preserve"> regarding </w:t>
            </w:r>
            <w:r>
              <w:t xml:space="preserve">the status of </w:t>
            </w:r>
            <w:r w:rsidR="000A37F9" w:rsidRPr="000A37F9">
              <w:t xml:space="preserve">a contractor's retainage lien in the event of a foreclosure on the property. </w:t>
            </w:r>
            <w:r w:rsidR="00D81B5A">
              <w:t>State</w:t>
            </w:r>
            <w:r w:rsidR="00D81B5A" w:rsidRPr="000A37F9">
              <w:t xml:space="preserve"> law requires nonpubl</w:t>
            </w:r>
            <w:r w:rsidR="00D81B5A">
              <w:t xml:space="preserve">ic property owners to withhold </w:t>
            </w:r>
            <w:r w:rsidR="00D81B5A" w:rsidRPr="000A37F9">
              <w:t>retainage</w:t>
            </w:r>
            <w:r w:rsidR="00D81B5A">
              <w:t xml:space="preserve"> in the amount of</w:t>
            </w:r>
            <w:r w:rsidR="00D81B5A" w:rsidRPr="000A37F9">
              <w:t xml:space="preserve"> 10</w:t>
            </w:r>
            <w:r w:rsidR="00155BB0">
              <w:t xml:space="preserve"> percent</w:t>
            </w:r>
            <w:r w:rsidR="00D81B5A" w:rsidRPr="000A37F9">
              <w:t xml:space="preserve"> of the value of the work that is performed by </w:t>
            </w:r>
            <w:r w:rsidR="003E6702">
              <w:t>the</w:t>
            </w:r>
            <w:r w:rsidR="00D81B5A" w:rsidRPr="000A37F9">
              <w:t xml:space="preserve"> contractor under a construction contract until completion of the </w:t>
            </w:r>
            <w:r w:rsidR="0023440E">
              <w:t>contract</w:t>
            </w:r>
            <w:r w:rsidR="00D81B5A">
              <w:t xml:space="preserve">. Therefore, </w:t>
            </w:r>
            <w:r w:rsidR="000A37F9" w:rsidRPr="000A37F9">
              <w:t xml:space="preserve">a contractor </w:t>
            </w:r>
            <w:r>
              <w:t xml:space="preserve">may </w:t>
            </w:r>
            <w:r w:rsidR="000A37F9" w:rsidRPr="000A37F9">
              <w:t>provide a full month</w:t>
            </w:r>
            <w:r w:rsidR="003E6702">
              <w:t xml:space="preserve"> of</w:t>
            </w:r>
            <w:r w:rsidR="000A37F9" w:rsidRPr="000A37F9">
              <w:t xml:space="preserve"> work</w:t>
            </w:r>
            <w:r w:rsidR="003E6702">
              <w:t xml:space="preserve"> before the full amount of the contract is paid</w:t>
            </w:r>
            <w:r w:rsidR="000A37F9" w:rsidRPr="000A37F9">
              <w:t>. However, if there is a loan default on the project and the lender forecloses, the remaining 10</w:t>
            </w:r>
            <w:r w:rsidR="00155BB0">
              <w:t xml:space="preserve"> percent</w:t>
            </w:r>
            <w:r w:rsidR="000A37F9" w:rsidRPr="000A37F9">
              <w:t xml:space="preserve"> is not paid out </w:t>
            </w:r>
            <w:r w:rsidR="003E6702">
              <w:t xml:space="preserve">to the contractor </w:t>
            </w:r>
            <w:r w:rsidR="000A37F9" w:rsidRPr="000A37F9">
              <w:t xml:space="preserve">for labor already provided. </w:t>
            </w:r>
            <w:r w:rsidR="000A37F9">
              <w:t>H</w:t>
            </w:r>
            <w:r w:rsidR="003E6702">
              <w:t>.</w:t>
            </w:r>
            <w:r w:rsidR="000A37F9">
              <w:t>B</w:t>
            </w:r>
            <w:r w:rsidR="003E6702">
              <w:t>.</w:t>
            </w:r>
            <w:r w:rsidR="000A37F9">
              <w:t xml:space="preserve"> </w:t>
            </w:r>
            <w:r w:rsidR="000A37F9" w:rsidRPr="000A37F9">
              <w:t xml:space="preserve">1679 </w:t>
            </w:r>
            <w:r w:rsidR="003E6702">
              <w:t xml:space="preserve">seeks to remedy this situation by </w:t>
            </w:r>
            <w:r w:rsidR="000A37F9" w:rsidRPr="000A37F9">
              <w:t>ensur</w:t>
            </w:r>
            <w:r w:rsidR="003E6702">
              <w:t>ing</w:t>
            </w:r>
            <w:r w:rsidR="000A37F9" w:rsidRPr="000A37F9">
              <w:t xml:space="preserve"> that a contractor</w:t>
            </w:r>
            <w:r w:rsidR="001F0F36">
              <w:t>'</w:t>
            </w:r>
            <w:r w:rsidR="000A37F9" w:rsidRPr="000A37F9">
              <w:t>s retainage lien, if not satisfied during foreclosure, would survive until satisfied by a subsequent owner.</w:t>
            </w:r>
          </w:p>
          <w:p w14:paraId="47FB2BF2" w14:textId="77777777" w:rsidR="008423E4" w:rsidRPr="00E26B13" w:rsidRDefault="008423E4" w:rsidP="00E10EFE">
            <w:pPr>
              <w:rPr>
                <w:b/>
              </w:rPr>
            </w:pPr>
          </w:p>
        </w:tc>
      </w:tr>
      <w:tr w:rsidR="00AB745E" w14:paraId="6C086396" w14:textId="77777777" w:rsidTr="00345119">
        <w:tc>
          <w:tcPr>
            <w:tcW w:w="9576" w:type="dxa"/>
          </w:tcPr>
          <w:p w14:paraId="5031738A" w14:textId="77777777" w:rsidR="0017725B" w:rsidRDefault="00EB51C2" w:rsidP="00E10E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2A629B" w14:textId="77777777" w:rsidR="0017725B" w:rsidRDefault="0017725B" w:rsidP="00E10EFE">
            <w:pPr>
              <w:rPr>
                <w:b/>
                <w:u w:val="single"/>
              </w:rPr>
            </w:pPr>
          </w:p>
          <w:p w14:paraId="042C1CDB" w14:textId="1C57E0B2" w:rsidR="00443B02" w:rsidRPr="00443B02" w:rsidRDefault="00EB51C2" w:rsidP="00E10EFE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14:paraId="0C31C2BC" w14:textId="77777777" w:rsidR="0017725B" w:rsidRPr="0017725B" w:rsidRDefault="0017725B" w:rsidP="00E10EFE">
            <w:pPr>
              <w:rPr>
                <w:b/>
                <w:u w:val="single"/>
              </w:rPr>
            </w:pPr>
          </w:p>
        </w:tc>
      </w:tr>
      <w:tr w:rsidR="00AB745E" w14:paraId="5D390654" w14:textId="77777777" w:rsidTr="00345119">
        <w:tc>
          <w:tcPr>
            <w:tcW w:w="9576" w:type="dxa"/>
          </w:tcPr>
          <w:p w14:paraId="18E161AA" w14:textId="77777777" w:rsidR="008423E4" w:rsidRPr="00A8133F" w:rsidRDefault="00EB51C2" w:rsidP="00E1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6C6717" w14:textId="77777777" w:rsidR="008423E4" w:rsidRDefault="008423E4" w:rsidP="00E10EFE"/>
          <w:p w14:paraId="0B2E047C" w14:textId="409AC452" w:rsidR="00443B02" w:rsidRDefault="00EB51C2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14:paraId="2D98E294" w14:textId="77777777" w:rsidR="008423E4" w:rsidRPr="00E21FDC" w:rsidRDefault="008423E4" w:rsidP="00E10EFE">
            <w:pPr>
              <w:rPr>
                <w:b/>
              </w:rPr>
            </w:pPr>
          </w:p>
        </w:tc>
      </w:tr>
      <w:tr w:rsidR="00AB745E" w14:paraId="75AF8F5F" w14:textId="77777777" w:rsidTr="00345119">
        <w:tc>
          <w:tcPr>
            <w:tcW w:w="9576" w:type="dxa"/>
          </w:tcPr>
          <w:p w14:paraId="6FB4B80D" w14:textId="77777777" w:rsidR="008423E4" w:rsidRPr="00A8133F" w:rsidRDefault="00EB51C2" w:rsidP="00E1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05CE60" w14:textId="77777777" w:rsidR="008423E4" w:rsidRDefault="008423E4" w:rsidP="00E10EFE"/>
          <w:p w14:paraId="10CAF1E6" w14:textId="2F5A3860" w:rsidR="00847498" w:rsidRDefault="00EB51C2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1679 amends the </w:t>
            </w:r>
            <w:r w:rsidRPr="00B44A1C">
              <w:t>Property Code</w:t>
            </w:r>
            <w:r>
              <w:t xml:space="preserve"> to </w:t>
            </w:r>
            <w:r w:rsidR="00CC0D6E">
              <w:t xml:space="preserve">require a person claiming a </w:t>
            </w:r>
            <w:r w:rsidR="00FF3FA6">
              <w:t xml:space="preserve">mechanic's </w:t>
            </w:r>
            <w:r w:rsidR="00CC0D6E">
              <w:t xml:space="preserve">lien for </w:t>
            </w:r>
            <w:r w:rsidR="00CC0D6E" w:rsidRPr="00CC0D6E">
              <w:t>retainage</w:t>
            </w:r>
            <w:r w:rsidR="00CC0D6E">
              <w:t xml:space="preserve"> who </w:t>
            </w:r>
            <w:r w:rsidR="00CC0D6E" w:rsidRPr="00CC0D6E">
              <w:t>receives a notice of a foreclosure sale</w:t>
            </w:r>
            <w:r w:rsidR="003D5515">
              <w:t xml:space="preserve"> </w:t>
            </w:r>
            <w:r>
              <w:t xml:space="preserve">to file an affidavit </w:t>
            </w:r>
            <w:r w:rsidR="00440A23">
              <w:t>to perfect the lien</w:t>
            </w:r>
            <w:r>
              <w:t xml:space="preserve"> </w:t>
            </w:r>
            <w:r w:rsidR="00440A23">
              <w:t>as</w:t>
            </w:r>
            <w:r>
              <w:t xml:space="preserve"> follows: </w:t>
            </w:r>
          </w:p>
          <w:p w14:paraId="09AD92DE" w14:textId="1AC211B5" w:rsidR="00D90A1F" w:rsidRDefault="00EB51C2" w:rsidP="00E10EF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C4F2B">
              <w:t>not later than</w:t>
            </w:r>
            <w:r>
              <w:t xml:space="preserve"> </w:t>
            </w:r>
            <w:r w:rsidRPr="00CC4F2B">
              <w:t>the fifth day before the date of the foreclosure sale</w:t>
            </w:r>
            <w:r>
              <w:t>; or</w:t>
            </w:r>
          </w:p>
          <w:p w14:paraId="54AEC0CC" w14:textId="222E0FF7" w:rsidR="00847498" w:rsidRDefault="00EB51C2" w:rsidP="00E10EF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the </w:t>
            </w:r>
            <w:r w:rsidRPr="002B6C62">
              <w:t>foreclosure sale does not occur on the date stated in the notice</w:t>
            </w:r>
            <w:r w:rsidR="00FB0612">
              <w:t>, as follows:</w:t>
            </w:r>
          </w:p>
          <w:p w14:paraId="39D7186B" w14:textId="77777777" w:rsidR="0069277C" w:rsidRDefault="00EB51C2" w:rsidP="00E10EFE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applicable </w:t>
            </w:r>
            <w:r>
              <w:t>date by which a person is required to file an affidavit claiming a lien for a lien for retainage for benefit of lien claimants; or</w:t>
            </w:r>
          </w:p>
          <w:p w14:paraId="4F274473" w14:textId="6AE6273C" w:rsidR="00847498" w:rsidRDefault="00EB51C2" w:rsidP="00E10EFE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D357F">
              <w:t>not later than the 15th day of the fourth calendar month after the day on which the indebtedness accrues</w:t>
            </w:r>
            <w:r>
              <w:t xml:space="preserve"> for a lien for an am</w:t>
            </w:r>
            <w:r>
              <w:t xml:space="preserve">ount </w:t>
            </w:r>
            <w:r w:rsidRPr="00847498">
              <w:t>or agreed percentage of money in a construction contract or subcontract that is withheld from a payment and not due to be paid until completion of the contract or an agreed date</w:t>
            </w:r>
            <w:r>
              <w:t>.</w:t>
            </w:r>
          </w:p>
          <w:p w14:paraId="3079D0A9" w14:textId="77777777" w:rsidR="00CC0D6E" w:rsidRDefault="00CC0D6E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60C0AB" w14:textId="45C865B8" w:rsidR="006B4080" w:rsidRDefault="00EB51C2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1679 establishes</w:t>
            </w:r>
            <w:r w:rsidR="00CC0D6E">
              <w:t xml:space="preserve"> that a </w:t>
            </w:r>
            <w:r w:rsidR="00CC0D6E" w:rsidRPr="00CC0D6E">
              <w:t>person who purchases property that is sold du</w:t>
            </w:r>
            <w:r w:rsidR="00CC0D6E">
              <w:t xml:space="preserve">e to </w:t>
            </w:r>
            <w:r w:rsidR="00CC0D6E" w:rsidRPr="00CC0D6E">
              <w:t>the foreclosure of a lien that secures a financing agreement or loan to pay for the construction or repair of an improvement to real property takes the property subject to the amount of retainage</w:t>
            </w:r>
            <w:r w:rsidR="0069277C">
              <w:t>, as defined by the bill,</w:t>
            </w:r>
            <w:r w:rsidR="00CC0D6E" w:rsidRPr="00CC0D6E">
              <w:t xml:space="preserve"> included in an unreleased lien for which an affidavit is filed</w:t>
            </w:r>
            <w:r w:rsidR="003D5515">
              <w:t>. The bill</w:t>
            </w:r>
            <w:r>
              <w:t xml:space="preserve"> provides the following:</w:t>
            </w:r>
          </w:p>
          <w:p w14:paraId="7A0F87B0" w14:textId="0023E1D1" w:rsidR="006B4080" w:rsidRDefault="00EB51C2" w:rsidP="00E10EF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D5515">
              <w:t xml:space="preserve">a </w:t>
            </w:r>
            <w:r w:rsidR="00440A23">
              <w:t xml:space="preserve">lender under such an agreement or loan </w:t>
            </w:r>
            <w:r>
              <w:t xml:space="preserve">must </w:t>
            </w:r>
            <w:r w:rsidR="00440A23" w:rsidRPr="00440A23">
              <w:t>provide written notice</w:t>
            </w:r>
            <w:r>
              <w:t>, as prescribed by the bill,</w:t>
            </w:r>
            <w:r w:rsidR="00440A23" w:rsidRPr="00440A23">
              <w:t xml:space="preserve"> to the original contractor</w:t>
            </w:r>
            <w:r w:rsidR="00440A23">
              <w:t xml:space="preserve"> not later than the </w:t>
            </w:r>
            <w:r w:rsidR="00440A23" w:rsidRPr="00440A23">
              <w:t>35th day before the date of the foreclosure sale</w:t>
            </w:r>
            <w:r w:rsidR="00460F40">
              <w:t>;</w:t>
            </w:r>
            <w:r w:rsidR="00443B02">
              <w:t xml:space="preserve"> </w:t>
            </w:r>
          </w:p>
          <w:p w14:paraId="0CA77BDC" w14:textId="1CE8ABA1" w:rsidR="006B4080" w:rsidRDefault="00EB51C2" w:rsidP="00E10EF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original contractor who receives the notice must </w:t>
            </w:r>
            <w:r w:rsidRPr="00443B02">
              <w:t xml:space="preserve">provide a copy of the notice to each subcontractor </w:t>
            </w:r>
            <w:r w:rsidR="0069277C">
              <w:t xml:space="preserve">of the contractor </w:t>
            </w:r>
            <w:r>
              <w:t xml:space="preserve">not later than </w:t>
            </w:r>
            <w:r w:rsidRPr="00443B02">
              <w:t xml:space="preserve">the fifth day after </w:t>
            </w:r>
            <w:r w:rsidR="00546D18">
              <w:t xml:space="preserve">receipt of </w:t>
            </w:r>
            <w:r w:rsidRPr="00443B02">
              <w:t>the notice</w:t>
            </w:r>
            <w:r>
              <w:t xml:space="preserve">; and </w:t>
            </w:r>
          </w:p>
          <w:p w14:paraId="719A5C26" w14:textId="4542619E" w:rsidR="006B4080" w:rsidRDefault="00EB51C2" w:rsidP="00E10EF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443B02">
              <w:t>subcontractor</w:t>
            </w:r>
            <w:r>
              <w:t xml:space="preserve"> who receives the notice</w:t>
            </w:r>
            <w:r w:rsidR="00443B02">
              <w:t xml:space="preserve"> </w:t>
            </w:r>
            <w:r>
              <w:t xml:space="preserve">must </w:t>
            </w:r>
            <w:r w:rsidR="00443B02">
              <w:t xml:space="preserve">provide a copy of the notice to each subcontractor of the subcontractor not later than the fifth day after </w:t>
            </w:r>
            <w:r w:rsidR="00546D18">
              <w:t>receipt of the notice</w:t>
            </w:r>
            <w:r w:rsidR="00443B02">
              <w:t>.</w:t>
            </w:r>
          </w:p>
          <w:p w14:paraId="500A61A6" w14:textId="26A15881" w:rsidR="009C36CD" w:rsidRPr="009C36CD" w:rsidRDefault="009C36CD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510EBF" w14:textId="77777777" w:rsidR="008423E4" w:rsidRPr="00835628" w:rsidRDefault="008423E4" w:rsidP="00E10EFE">
            <w:pPr>
              <w:rPr>
                <w:b/>
              </w:rPr>
            </w:pPr>
          </w:p>
        </w:tc>
      </w:tr>
      <w:tr w:rsidR="00AB745E" w14:paraId="50911567" w14:textId="77777777" w:rsidTr="00345119">
        <w:tc>
          <w:tcPr>
            <w:tcW w:w="9576" w:type="dxa"/>
          </w:tcPr>
          <w:p w14:paraId="6B1C357B" w14:textId="77777777" w:rsidR="008423E4" w:rsidRPr="00A8133F" w:rsidRDefault="00EB51C2" w:rsidP="00E1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3CA732" w14:textId="77777777" w:rsidR="008423E4" w:rsidRDefault="008423E4" w:rsidP="00E10EFE"/>
          <w:p w14:paraId="15E6F837" w14:textId="7F5BE67F" w:rsidR="008423E4" w:rsidRPr="003624F2" w:rsidRDefault="00EB51C2" w:rsidP="00E1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CD21A8" w14:textId="77777777" w:rsidR="008423E4" w:rsidRPr="00233FDB" w:rsidRDefault="008423E4" w:rsidP="00E10EFE">
            <w:pPr>
              <w:rPr>
                <w:b/>
              </w:rPr>
            </w:pPr>
          </w:p>
        </w:tc>
      </w:tr>
    </w:tbl>
    <w:p w14:paraId="68EEF56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24A0461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C78E" w14:textId="77777777" w:rsidR="00000000" w:rsidRDefault="00EB51C2">
      <w:r>
        <w:separator/>
      </w:r>
    </w:p>
  </w:endnote>
  <w:endnote w:type="continuationSeparator" w:id="0">
    <w:p w14:paraId="25FA8C4B" w14:textId="77777777" w:rsidR="00000000" w:rsidRDefault="00E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614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745E" w14:paraId="07707732" w14:textId="77777777" w:rsidTr="009C1E9A">
      <w:trPr>
        <w:cantSplit/>
      </w:trPr>
      <w:tc>
        <w:tcPr>
          <w:tcW w:w="0" w:type="pct"/>
        </w:tcPr>
        <w:p w14:paraId="6A7884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8A4D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D138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6DF7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CDFD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745E" w14:paraId="6A9FE5E6" w14:textId="77777777" w:rsidTr="009C1E9A">
      <w:trPr>
        <w:cantSplit/>
      </w:trPr>
      <w:tc>
        <w:tcPr>
          <w:tcW w:w="0" w:type="pct"/>
        </w:tcPr>
        <w:p w14:paraId="00996C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E3E183" w14:textId="38032EDB" w:rsidR="00EC379B" w:rsidRPr="009C1E9A" w:rsidRDefault="00EB51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</w:t>
          </w:r>
          <w:r>
            <w:rPr>
              <w:rFonts w:ascii="Shruti" w:hAnsi="Shruti"/>
              <w:sz w:val="22"/>
            </w:rPr>
            <w:t xml:space="preserve"> 21713</w:t>
          </w:r>
        </w:p>
      </w:tc>
      <w:tc>
        <w:tcPr>
          <w:tcW w:w="2453" w:type="pct"/>
        </w:tcPr>
        <w:p w14:paraId="794F19DB" w14:textId="4DC0B485" w:rsidR="00EC379B" w:rsidRDefault="00EB5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7090">
            <w:t>21.115.22</w:t>
          </w:r>
          <w:r>
            <w:fldChar w:fldCharType="end"/>
          </w:r>
        </w:p>
      </w:tc>
    </w:tr>
    <w:tr w:rsidR="00AB745E" w14:paraId="1F1E35F2" w14:textId="77777777" w:rsidTr="009C1E9A">
      <w:trPr>
        <w:cantSplit/>
      </w:trPr>
      <w:tc>
        <w:tcPr>
          <w:tcW w:w="0" w:type="pct"/>
        </w:tcPr>
        <w:p w14:paraId="13438A0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113612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F83B00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04A4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745E" w14:paraId="0054FB2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0840C8" w14:textId="17FFE918" w:rsidR="00EC379B" w:rsidRDefault="00EB51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10EF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8AA17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338C4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7BB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2CBF" w14:textId="77777777" w:rsidR="00000000" w:rsidRDefault="00EB51C2">
      <w:r>
        <w:separator/>
      </w:r>
    </w:p>
  </w:footnote>
  <w:footnote w:type="continuationSeparator" w:id="0">
    <w:p w14:paraId="6AF58817" w14:textId="77777777" w:rsidR="00000000" w:rsidRDefault="00EB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0BD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BE9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ED7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187F"/>
    <w:multiLevelType w:val="hybridMultilevel"/>
    <w:tmpl w:val="C8D2CBDC"/>
    <w:lvl w:ilvl="0" w:tplc="F0C8B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2C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8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A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C4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C7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09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AE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82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CF3"/>
    <w:multiLevelType w:val="hybridMultilevel"/>
    <w:tmpl w:val="A75A9626"/>
    <w:lvl w:ilvl="0" w:tplc="1CC63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43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2C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40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E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A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8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AD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57A"/>
    <w:rsid w:val="00090E6B"/>
    <w:rsid w:val="00091B2C"/>
    <w:rsid w:val="00092ABC"/>
    <w:rsid w:val="00097AAF"/>
    <w:rsid w:val="00097D13"/>
    <w:rsid w:val="000A37F9"/>
    <w:rsid w:val="000A4893"/>
    <w:rsid w:val="000A54E0"/>
    <w:rsid w:val="000A72C4"/>
    <w:rsid w:val="000B1486"/>
    <w:rsid w:val="000B3E61"/>
    <w:rsid w:val="000B54AF"/>
    <w:rsid w:val="000B6090"/>
    <w:rsid w:val="000B6FEE"/>
    <w:rsid w:val="000B7936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2D78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41E"/>
    <w:rsid w:val="00137D90"/>
    <w:rsid w:val="00141FB6"/>
    <w:rsid w:val="00142F8E"/>
    <w:rsid w:val="00143C8B"/>
    <w:rsid w:val="00147530"/>
    <w:rsid w:val="0015331F"/>
    <w:rsid w:val="00155BB0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F36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40E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C6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515"/>
    <w:rsid w:val="003D726D"/>
    <w:rsid w:val="003E0875"/>
    <w:rsid w:val="003E0BB8"/>
    <w:rsid w:val="003E670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A23"/>
    <w:rsid w:val="00441016"/>
    <w:rsid w:val="00441F2F"/>
    <w:rsid w:val="0044228B"/>
    <w:rsid w:val="00443B02"/>
    <w:rsid w:val="00447018"/>
    <w:rsid w:val="00450561"/>
    <w:rsid w:val="00450A40"/>
    <w:rsid w:val="00451D7C"/>
    <w:rsid w:val="00452FC3"/>
    <w:rsid w:val="00455936"/>
    <w:rsid w:val="00455ACE"/>
    <w:rsid w:val="00460F4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6D18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938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77C"/>
    <w:rsid w:val="00693AFA"/>
    <w:rsid w:val="00695101"/>
    <w:rsid w:val="00695B9A"/>
    <w:rsid w:val="00696563"/>
    <w:rsid w:val="006979F8"/>
    <w:rsid w:val="006A237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080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62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11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49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C5E"/>
    <w:rsid w:val="00980311"/>
    <w:rsid w:val="0098170E"/>
    <w:rsid w:val="0098285C"/>
    <w:rsid w:val="00983023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5E"/>
    <w:rsid w:val="00AB74E2"/>
    <w:rsid w:val="00AC2E9A"/>
    <w:rsid w:val="00AC5AAB"/>
    <w:rsid w:val="00AC5AEC"/>
    <w:rsid w:val="00AC5F28"/>
    <w:rsid w:val="00AC6900"/>
    <w:rsid w:val="00AC709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7B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A1C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D6E"/>
    <w:rsid w:val="00CC24B7"/>
    <w:rsid w:val="00CC4F2B"/>
    <w:rsid w:val="00CC7131"/>
    <w:rsid w:val="00CC7B9E"/>
    <w:rsid w:val="00CD06CA"/>
    <w:rsid w:val="00CD076A"/>
    <w:rsid w:val="00CD180C"/>
    <w:rsid w:val="00CD37DA"/>
    <w:rsid w:val="00CD4F2C"/>
    <w:rsid w:val="00CD685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0E3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1B5A"/>
    <w:rsid w:val="00D83072"/>
    <w:rsid w:val="00D83ABC"/>
    <w:rsid w:val="00D84870"/>
    <w:rsid w:val="00D90A1F"/>
    <w:rsid w:val="00D91B92"/>
    <w:rsid w:val="00D926B3"/>
    <w:rsid w:val="00D92F63"/>
    <w:rsid w:val="00D947B6"/>
    <w:rsid w:val="00D97E00"/>
    <w:rsid w:val="00DA00BC"/>
    <w:rsid w:val="00DA0E22"/>
    <w:rsid w:val="00DA1220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0D"/>
    <w:rsid w:val="00E04B30"/>
    <w:rsid w:val="00E05FB7"/>
    <w:rsid w:val="00E066E6"/>
    <w:rsid w:val="00E06807"/>
    <w:rsid w:val="00E06C5E"/>
    <w:rsid w:val="00E0752B"/>
    <w:rsid w:val="00E10EFE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1C2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612"/>
    <w:rsid w:val="00FB16CD"/>
    <w:rsid w:val="00FB73AE"/>
    <w:rsid w:val="00FC5388"/>
    <w:rsid w:val="00FC726C"/>
    <w:rsid w:val="00FD1B4B"/>
    <w:rsid w:val="00FD1B94"/>
    <w:rsid w:val="00FD357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FA6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88B4CF-BDC2-4E1F-9606-96927BA2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75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5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2654</Characters>
  <Application>Microsoft Office Word</Application>
  <DocSecurity>4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HB01679 (Committee Report (Unamended))</vt:lpstr>
    </vt:vector>
  </TitlesOfParts>
  <Company>State of Texas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21713</dc:subject>
  <dc:creator>State of Texas</dc:creator>
  <dc:description>HB 1679 by Romero, Jr.-(H)Business &amp; Industry</dc:description>
  <cp:lastModifiedBy>Lauren Bustamante</cp:lastModifiedBy>
  <cp:revision>2</cp:revision>
  <cp:lastPrinted>2003-11-26T17:21:00Z</cp:lastPrinted>
  <dcterms:created xsi:type="dcterms:W3CDTF">2021-04-27T01:42:00Z</dcterms:created>
  <dcterms:modified xsi:type="dcterms:W3CDTF">2021-04-27T01:42:00Z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21.115.22</vt:lpwstr>
  </property>
</Properties>
</file>