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522A" w14:paraId="59D979C1" w14:textId="77777777" w:rsidTr="00345119">
        <w:tc>
          <w:tcPr>
            <w:tcW w:w="9576" w:type="dxa"/>
            <w:noWrap/>
          </w:tcPr>
          <w:p w14:paraId="6690BE18" w14:textId="77777777" w:rsidR="008423E4" w:rsidRPr="0022177D" w:rsidRDefault="00C000ED" w:rsidP="006B642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720D58E" w14:textId="77777777" w:rsidR="008423E4" w:rsidRPr="0022177D" w:rsidRDefault="008423E4" w:rsidP="006B6422">
      <w:pPr>
        <w:jc w:val="center"/>
      </w:pPr>
    </w:p>
    <w:p w14:paraId="11AD6668" w14:textId="77777777" w:rsidR="008423E4" w:rsidRPr="00B31F0E" w:rsidRDefault="008423E4" w:rsidP="006B6422"/>
    <w:p w14:paraId="443E51A3" w14:textId="77777777" w:rsidR="008423E4" w:rsidRPr="00742794" w:rsidRDefault="008423E4" w:rsidP="006B642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522A" w14:paraId="06CFC3E6" w14:textId="77777777" w:rsidTr="00345119">
        <w:tc>
          <w:tcPr>
            <w:tcW w:w="9576" w:type="dxa"/>
          </w:tcPr>
          <w:p w14:paraId="25CEBA5A" w14:textId="3EB3D0D4" w:rsidR="008423E4" w:rsidRPr="00861995" w:rsidRDefault="00C000ED" w:rsidP="006B6422">
            <w:pPr>
              <w:jc w:val="right"/>
            </w:pPr>
            <w:r>
              <w:t>C.S.H.B. 1689</w:t>
            </w:r>
          </w:p>
        </w:tc>
      </w:tr>
      <w:tr w:rsidR="0014522A" w14:paraId="347600E8" w14:textId="77777777" w:rsidTr="00345119">
        <w:tc>
          <w:tcPr>
            <w:tcW w:w="9576" w:type="dxa"/>
          </w:tcPr>
          <w:p w14:paraId="6B9B00AE" w14:textId="05E299E0" w:rsidR="008423E4" w:rsidRPr="00861995" w:rsidRDefault="00C000ED" w:rsidP="006B6422">
            <w:pPr>
              <w:jc w:val="right"/>
            </w:pPr>
            <w:r>
              <w:t xml:space="preserve">By: </w:t>
            </w:r>
            <w:r w:rsidR="006B4643">
              <w:t>Oliverson</w:t>
            </w:r>
          </w:p>
        </w:tc>
      </w:tr>
      <w:tr w:rsidR="0014522A" w14:paraId="5B04E21B" w14:textId="77777777" w:rsidTr="00345119">
        <w:tc>
          <w:tcPr>
            <w:tcW w:w="9576" w:type="dxa"/>
          </w:tcPr>
          <w:p w14:paraId="2E0D9B20" w14:textId="4AAF910C" w:rsidR="008423E4" w:rsidRPr="00861995" w:rsidRDefault="00C000ED" w:rsidP="006B6422">
            <w:pPr>
              <w:jc w:val="right"/>
            </w:pPr>
            <w:r>
              <w:t>Insurance</w:t>
            </w:r>
          </w:p>
        </w:tc>
      </w:tr>
      <w:tr w:rsidR="0014522A" w14:paraId="239A0219" w14:textId="77777777" w:rsidTr="00345119">
        <w:tc>
          <w:tcPr>
            <w:tcW w:w="9576" w:type="dxa"/>
          </w:tcPr>
          <w:p w14:paraId="65630A96" w14:textId="3DAE0C00" w:rsidR="008423E4" w:rsidRDefault="00C000ED" w:rsidP="006B6422">
            <w:pPr>
              <w:jc w:val="right"/>
            </w:pPr>
            <w:r>
              <w:t>Committee Report (Substituted)</w:t>
            </w:r>
          </w:p>
        </w:tc>
      </w:tr>
    </w:tbl>
    <w:p w14:paraId="664F383F" w14:textId="77777777" w:rsidR="008423E4" w:rsidRDefault="008423E4" w:rsidP="006B6422">
      <w:pPr>
        <w:tabs>
          <w:tab w:val="right" w:pos="9360"/>
        </w:tabs>
      </w:pPr>
    </w:p>
    <w:p w14:paraId="082DA773" w14:textId="77777777" w:rsidR="008423E4" w:rsidRDefault="008423E4" w:rsidP="006B6422"/>
    <w:p w14:paraId="5A7DA318" w14:textId="77777777" w:rsidR="008423E4" w:rsidRDefault="008423E4" w:rsidP="006B642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522A" w14:paraId="193C5638" w14:textId="77777777" w:rsidTr="00345119">
        <w:tc>
          <w:tcPr>
            <w:tcW w:w="9576" w:type="dxa"/>
          </w:tcPr>
          <w:p w14:paraId="20E6B207" w14:textId="77777777" w:rsidR="008423E4" w:rsidRPr="00A8133F" w:rsidRDefault="00C000ED" w:rsidP="006B64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487602" w14:textId="77777777" w:rsidR="008423E4" w:rsidRDefault="008423E4" w:rsidP="006B6422"/>
          <w:p w14:paraId="6FE3FECB" w14:textId="5078548D" w:rsidR="008423E4" w:rsidRDefault="00C000ED" w:rsidP="006B6422">
            <w:pPr>
              <w:pStyle w:val="Header"/>
              <w:jc w:val="both"/>
            </w:pPr>
            <w:r>
              <w:t xml:space="preserve">The </w:t>
            </w:r>
            <w:r w:rsidR="005F418A">
              <w:t xml:space="preserve">federal </w:t>
            </w:r>
            <w:r>
              <w:t xml:space="preserve">Dodd-Frank Wall Street Reform and Consumer Protection Act authorized the federal government to negotiate </w:t>
            </w:r>
            <w:r w:rsidR="00E13B01">
              <w:t>"</w:t>
            </w:r>
            <w:r>
              <w:t>covered agreements</w:t>
            </w:r>
            <w:r w:rsidR="00E13B01">
              <w:t xml:space="preserve">" </w:t>
            </w:r>
            <w:r>
              <w:t xml:space="preserve">with foreign governments to provide for the preemption of state laws that treat foreign insurers differently than </w:t>
            </w:r>
            <w:r w:rsidR="00344C01">
              <w:t>domestic</w:t>
            </w:r>
            <w:r>
              <w:t xml:space="preserve"> insurers. A covered agreement is similar to a treaty, except that no Congressional approval is required. Under the authority of </w:t>
            </w:r>
            <w:r w:rsidR="00344C01">
              <w:t>this</w:t>
            </w:r>
            <w:r>
              <w:t xml:space="preserve"> </w:t>
            </w:r>
            <w:r w:rsidR="00AE2009">
              <w:t>a</w:t>
            </w:r>
            <w:r>
              <w:t xml:space="preserve">ct, the U.S. Treasury Department </w:t>
            </w:r>
            <w:r w:rsidR="00344C01">
              <w:t xml:space="preserve">has </w:t>
            </w:r>
            <w:r>
              <w:t>signed agreements with the European Union and the United Kingdom</w:t>
            </w:r>
            <w:r w:rsidR="00344C01">
              <w:t>, respectively, u</w:t>
            </w:r>
            <w:r>
              <w:t xml:space="preserve">nder </w:t>
            </w:r>
            <w:r w:rsidR="00344C01">
              <w:t>which</w:t>
            </w:r>
            <w:r>
              <w:t xml:space="preserve"> states must amend their laws to comply with the terms of the agreements within five years or be subject to federal preemptio</w:t>
            </w:r>
            <w:r>
              <w:t xml:space="preserve">n. Of most significance, states must eliminate collateral requirements imposed on reinsurers as defined in the agreement. </w:t>
            </w:r>
            <w:r w:rsidR="00344C01">
              <w:t>It has been noted that t</w:t>
            </w:r>
            <w:r>
              <w:t>he Federal Insurance Office</w:t>
            </w:r>
            <w:r w:rsidR="00344C01">
              <w:t xml:space="preserve"> </w:t>
            </w:r>
            <w:r>
              <w:t xml:space="preserve">will begin evaluating state laws for potential preemption </w:t>
            </w:r>
            <w:r w:rsidR="00344C01">
              <w:t>this year</w:t>
            </w:r>
            <w:r>
              <w:t xml:space="preserve">. </w:t>
            </w:r>
            <w:r w:rsidR="00344C01">
              <w:t>C.S.</w:t>
            </w:r>
            <w:r w:rsidRPr="00B73AAA">
              <w:t>H</w:t>
            </w:r>
            <w:r w:rsidR="00344C01">
              <w:t>.</w:t>
            </w:r>
            <w:r w:rsidRPr="00B73AAA">
              <w:t>B</w:t>
            </w:r>
            <w:r w:rsidR="00344C01">
              <w:t>.</w:t>
            </w:r>
            <w:r w:rsidRPr="00B73AAA">
              <w:t xml:space="preserve"> 1689</w:t>
            </w:r>
            <w:r w:rsidRPr="00B73AAA">
              <w:t xml:space="preserve"> </w:t>
            </w:r>
            <w:r w:rsidR="00344C01">
              <w:t xml:space="preserve">seeks to revise state law governing reinsurance requirements to </w:t>
            </w:r>
            <w:r w:rsidRPr="00B73AAA">
              <w:t>avoid federal preemption</w:t>
            </w:r>
            <w:r w:rsidR="00344C01">
              <w:t>, which</w:t>
            </w:r>
            <w:r w:rsidRPr="00B73AAA">
              <w:t xml:space="preserve"> could impair the </w:t>
            </w:r>
            <w:r w:rsidR="00C930B2" w:rsidRPr="00B73AAA">
              <w:t>state</w:t>
            </w:r>
            <w:r w:rsidR="00C930B2">
              <w:t>'</w:t>
            </w:r>
            <w:r w:rsidR="00C930B2" w:rsidRPr="00B73AAA">
              <w:t xml:space="preserve">s </w:t>
            </w:r>
            <w:r w:rsidRPr="00B73AAA">
              <w:t>ability to effectively regulate the business of insurance in Texas.</w:t>
            </w:r>
          </w:p>
          <w:p w14:paraId="18B2AA4F" w14:textId="77777777" w:rsidR="008423E4" w:rsidRPr="00E26B13" w:rsidRDefault="008423E4" w:rsidP="006B6422">
            <w:pPr>
              <w:rPr>
                <w:b/>
              </w:rPr>
            </w:pPr>
          </w:p>
        </w:tc>
      </w:tr>
      <w:tr w:rsidR="0014522A" w14:paraId="1B3C8C21" w14:textId="77777777" w:rsidTr="00345119">
        <w:tc>
          <w:tcPr>
            <w:tcW w:w="9576" w:type="dxa"/>
          </w:tcPr>
          <w:p w14:paraId="3AC45AB1" w14:textId="77777777" w:rsidR="0017725B" w:rsidRDefault="00C000ED" w:rsidP="006B64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D8028F" w14:textId="77777777" w:rsidR="0017725B" w:rsidRDefault="0017725B" w:rsidP="006B6422">
            <w:pPr>
              <w:rPr>
                <w:b/>
                <w:u w:val="single"/>
              </w:rPr>
            </w:pPr>
          </w:p>
          <w:p w14:paraId="0EE6DBA7" w14:textId="77777777" w:rsidR="002D3881" w:rsidRPr="002D3881" w:rsidRDefault="00C000ED" w:rsidP="006B6422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98555E2" w14:textId="77777777" w:rsidR="0017725B" w:rsidRPr="0017725B" w:rsidRDefault="0017725B" w:rsidP="006B6422">
            <w:pPr>
              <w:rPr>
                <w:b/>
                <w:u w:val="single"/>
              </w:rPr>
            </w:pPr>
          </w:p>
        </w:tc>
      </w:tr>
      <w:tr w:rsidR="0014522A" w14:paraId="39D2AAE6" w14:textId="77777777" w:rsidTr="00345119">
        <w:tc>
          <w:tcPr>
            <w:tcW w:w="9576" w:type="dxa"/>
          </w:tcPr>
          <w:p w14:paraId="7CD89D55" w14:textId="77777777" w:rsidR="008423E4" w:rsidRPr="00A8133F" w:rsidRDefault="00C000ED" w:rsidP="006B64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D18D3CC" w14:textId="77777777" w:rsidR="008423E4" w:rsidRDefault="008423E4" w:rsidP="006B6422"/>
          <w:p w14:paraId="5C81EDC8" w14:textId="3EECEED2" w:rsidR="002D3881" w:rsidRDefault="00C000ED" w:rsidP="006B6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insurance in SECTION 2 of this bill.</w:t>
            </w:r>
          </w:p>
          <w:p w14:paraId="7F8C0617" w14:textId="77777777" w:rsidR="008423E4" w:rsidRPr="00E21FDC" w:rsidRDefault="008423E4" w:rsidP="006B6422">
            <w:pPr>
              <w:rPr>
                <w:b/>
              </w:rPr>
            </w:pPr>
          </w:p>
        </w:tc>
      </w:tr>
      <w:tr w:rsidR="0014522A" w14:paraId="113685DA" w14:textId="77777777" w:rsidTr="00345119">
        <w:tc>
          <w:tcPr>
            <w:tcW w:w="9576" w:type="dxa"/>
          </w:tcPr>
          <w:p w14:paraId="61F30DD9" w14:textId="77777777" w:rsidR="008423E4" w:rsidRPr="00A8133F" w:rsidRDefault="00C000ED" w:rsidP="006B64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46724EF" w14:textId="77777777" w:rsidR="008423E4" w:rsidRDefault="008423E4" w:rsidP="006B6422"/>
          <w:p w14:paraId="35F51DA5" w14:textId="2837C654" w:rsidR="005D30AB" w:rsidRDefault="00C000ED" w:rsidP="006B6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1689 amends the Insurance Code to require </w:t>
            </w:r>
            <w:r w:rsidRPr="00550881">
              <w:t>credit</w:t>
            </w:r>
            <w:r>
              <w:t xml:space="preserve"> </w:t>
            </w:r>
            <w:r w:rsidR="00B20225">
              <w:t xml:space="preserve">to </w:t>
            </w:r>
            <w:r>
              <w:t>be allowed</w:t>
            </w:r>
            <w:r>
              <w:t xml:space="preserve"> when reinsurance is ceded to an assuming insurer that meets the following conditions:</w:t>
            </w:r>
          </w:p>
          <w:p w14:paraId="4400BC44" w14:textId="06E62DA3" w:rsidR="009C36CD" w:rsidRDefault="00C000ED" w:rsidP="006B642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assuming insurer has its principal office </w:t>
            </w:r>
            <w:r w:rsidRPr="00BB633B">
              <w:t>or is domiciled in and is</w:t>
            </w:r>
            <w:r>
              <w:t xml:space="preserve"> licensed in a reciprocal jurisdiction;</w:t>
            </w:r>
          </w:p>
          <w:p w14:paraId="395B62F6" w14:textId="69B3D030" w:rsidR="00ED5F1E" w:rsidRDefault="00C000ED" w:rsidP="006B6422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assuming insurer meets certain financial requirements </w:t>
            </w:r>
            <w:r>
              <w:t xml:space="preserve">relating to minimum capital and surplus, or its equivalent, </w:t>
            </w:r>
            <w:r w:rsidR="00B1572F">
              <w:t xml:space="preserve">calculated according to the methodology of the assuming insurer's domiciliary jurisdiction and in an amount required by the commissioner of insurance by rule </w:t>
            </w:r>
            <w:r>
              <w:t xml:space="preserve">and </w:t>
            </w:r>
            <w:r w:rsidR="00E32C20">
              <w:t xml:space="preserve">certain financial </w:t>
            </w:r>
            <w:r w:rsidR="00550881" w:rsidRPr="000D76C8">
              <w:t>requirements</w:t>
            </w:r>
            <w:r w:rsidR="00550881">
              <w:t xml:space="preserve"> relating to </w:t>
            </w:r>
            <w:r>
              <w:t>minimum solvency or capital ratio, as applicable</w:t>
            </w:r>
            <w:r w:rsidR="00E550EB">
              <w:t>, required by the commissioner by rule</w:t>
            </w:r>
            <w:r>
              <w:t>;</w:t>
            </w:r>
          </w:p>
          <w:p w14:paraId="0E838222" w14:textId="5FB61783" w:rsidR="005D30AB" w:rsidRDefault="00C000ED" w:rsidP="006B6422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the assuming insurer </w:t>
            </w:r>
            <w:r w:rsidR="00863210">
              <w:t xml:space="preserve">agrees </w:t>
            </w:r>
            <w:r w:rsidR="0003671C">
              <w:t xml:space="preserve">to </w:t>
            </w:r>
            <w:r w:rsidR="00863210">
              <w:t>and provides adequate assurance to the commissioner</w:t>
            </w:r>
            <w:r w:rsidR="0003671C">
              <w:t>,</w:t>
            </w:r>
            <w:r w:rsidR="00863210">
              <w:t xml:space="preserve"> in a form as required by the commissioner by rule</w:t>
            </w:r>
            <w:r w:rsidR="0003671C">
              <w:t>,</w:t>
            </w:r>
            <w:r w:rsidR="00863210">
              <w:t xml:space="preserve"> </w:t>
            </w:r>
            <w:r w:rsidR="00863210" w:rsidRPr="0003671C">
              <w:t xml:space="preserve">of </w:t>
            </w:r>
            <w:r w:rsidR="0003671C">
              <w:t xml:space="preserve">its agreement to </w:t>
            </w:r>
            <w:r w:rsidR="00E803C1" w:rsidRPr="0003671C">
              <w:t>the following</w:t>
            </w:r>
            <w:r w:rsidR="0003671C">
              <w:t xml:space="preserve"> requirements</w:t>
            </w:r>
            <w:r w:rsidR="00E803C1">
              <w:t>:</w:t>
            </w:r>
          </w:p>
          <w:p w14:paraId="25573CD2" w14:textId="5E2D9E4E" w:rsidR="00E803C1" w:rsidRDefault="00C000ED" w:rsidP="006B6422">
            <w:pPr>
              <w:pStyle w:val="Header"/>
              <w:numPr>
                <w:ilvl w:val="1"/>
                <w:numId w:val="1"/>
              </w:numPr>
              <w:jc w:val="both"/>
            </w:pPr>
            <w:r w:rsidRPr="0003671C">
              <w:t>the</w:t>
            </w:r>
            <w:r>
              <w:t xml:space="preserve"> assuming insurer </w:t>
            </w:r>
            <w:r w:rsidR="0003671C">
              <w:t xml:space="preserve">must </w:t>
            </w:r>
            <w:r>
              <w:t>provide prompt written notice and explanation to the commission</w:t>
            </w:r>
            <w:r w:rsidR="00B20225">
              <w:t>er</w:t>
            </w:r>
            <w:r>
              <w:t xml:space="preserve"> </w:t>
            </w:r>
            <w:r w:rsidR="000871F6">
              <w:t xml:space="preserve">if the </w:t>
            </w:r>
            <w:r w:rsidR="00D62717">
              <w:t xml:space="preserve">assuming </w:t>
            </w:r>
            <w:r w:rsidR="000871F6">
              <w:t xml:space="preserve">insurer ceases to </w:t>
            </w:r>
            <w:r w:rsidR="000871F6" w:rsidRPr="00674B8D">
              <w:t xml:space="preserve">meet </w:t>
            </w:r>
            <w:r w:rsidR="000871F6" w:rsidRPr="000D76C8">
              <w:t>applicable</w:t>
            </w:r>
            <w:r w:rsidR="000871F6" w:rsidRPr="00674B8D">
              <w:t xml:space="preserve"> financial requirements</w:t>
            </w:r>
            <w:r w:rsidR="000871F6">
              <w:t xml:space="preserve"> </w:t>
            </w:r>
            <w:r w:rsidR="00E759E3">
              <w:t>or if any regulatory action is taken against the</w:t>
            </w:r>
            <w:r w:rsidR="00D62717">
              <w:t xml:space="preserve"> </w:t>
            </w:r>
            <w:r w:rsidR="00C7560E">
              <w:t>assuming</w:t>
            </w:r>
            <w:r w:rsidR="00E759E3">
              <w:t xml:space="preserve"> insurer for serious noncompliance with </w:t>
            </w:r>
            <w:r w:rsidR="00674B8D">
              <w:t xml:space="preserve">applicable </w:t>
            </w:r>
            <w:r w:rsidR="00E759E3">
              <w:t>law</w:t>
            </w:r>
            <w:r>
              <w:t>;</w:t>
            </w:r>
          </w:p>
          <w:p w14:paraId="1367F938" w14:textId="66A06719" w:rsidR="00E803C1" w:rsidRDefault="00C000ED" w:rsidP="006B642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assuming insurer </w:t>
            </w:r>
            <w:r w:rsidR="0003671C">
              <w:t xml:space="preserve">must consent </w:t>
            </w:r>
            <w:r>
              <w:t xml:space="preserve">in writing to the </w:t>
            </w:r>
            <w:r w:rsidRPr="00E803C1">
              <w:t xml:space="preserve">jurisdiction of </w:t>
            </w:r>
            <w:r w:rsidRPr="00641B88">
              <w:t>Texas courts</w:t>
            </w:r>
            <w:r w:rsidRPr="00E803C1">
              <w:t xml:space="preserve"> and to the appointment of the commissioner as agent for service of process</w:t>
            </w:r>
            <w:r w:rsidR="0002529B">
              <w:t>;</w:t>
            </w:r>
            <w:r w:rsidRPr="00E803C1">
              <w:t xml:space="preserve"> </w:t>
            </w:r>
          </w:p>
          <w:p w14:paraId="0C117988" w14:textId="2B63AD14" w:rsidR="00E803C1" w:rsidRDefault="00C000ED" w:rsidP="006B642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assuming insurer</w:t>
            </w:r>
            <w:r w:rsidR="0003671C">
              <w:t xml:space="preserve"> must consent </w:t>
            </w:r>
            <w:r>
              <w:t xml:space="preserve">in writing to pay </w:t>
            </w:r>
            <w:r w:rsidRPr="0033543B">
              <w:t>all final judgments</w:t>
            </w:r>
            <w:r w:rsidR="00E24118" w:rsidRPr="00E24118">
              <w:t xml:space="preserve">, </w:t>
            </w:r>
            <w:r w:rsidR="00E24118" w:rsidRPr="0033543B">
              <w:t>wherever enforcement is sought, obtained by a ceding insurer or its legal successor, that have been declared enforceable in the jurisdiction where the judgment was obtained</w:t>
            </w:r>
            <w:r w:rsidRPr="0033543B">
              <w:t>;</w:t>
            </w:r>
          </w:p>
          <w:p w14:paraId="51C21351" w14:textId="4221CB1E" w:rsidR="00E803C1" w:rsidRDefault="00C000ED" w:rsidP="006B642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each reinsurance agreement </w:t>
            </w:r>
            <w:r w:rsidR="0003671C">
              <w:t xml:space="preserve">must </w:t>
            </w:r>
            <w:r w:rsidRPr="00E803C1">
              <w:t xml:space="preserve">require the assuming insurer </w:t>
            </w:r>
            <w:r w:rsidRPr="00E803C1">
              <w:t xml:space="preserve">to provide security in an amount equal to 100 percent of the </w:t>
            </w:r>
            <w:r w:rsidRPr="00D62717">
              <w:t>assuming</w:t>
            </w:r>
            <w:r w:rsidRPr="00E803C1">
              <w:t xml:space="preserve"> insurer's liabilities attributable to reinsurance ceded under the reinsurance agreement if the assuming insurer resists enforcement</w:t>
            </w:r>
            <w:r>
              <w:t xml:space="preserve"> of certain final judgments or arbitration awards;</w:t>
            </w:r>
            <w:r w:rsidR="0003671C">
              <w:t xml:space="preserve"> and</w:t>
            </w:r>
          </w:p>
          <w:p w14:paraId="7C6B0BF4" w14:textId="041BD678" w:rsidR="00E803C1" w:rsidRDefault="00C000ED" w:rsidP="006B642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assuming insurer </w:t>
            </w:r>
            <w:r w:rsidR="0003671C">
              <w:t xml:space="preserve">must </w:t>
            </w:r>
            <w:r w:rsidRPr="0003671C">
              <w:t>confirm</w:t>
            </w:r>
            <w:r w:rsidR="009D41D9" w:rsidRPr="0003671C">
              <w:t xml:space="preserve"> they are</w:t>
            </w:r>
            <w:r w:rsidR="009D41D9" w:rsidRPr="009D41D9">
              <w:t xml:space="preserve"> not presently participating in any solvent scheme of arrangement that involves </w:t>
            </w:r>
            <w:r w:rsidR="00DC6CF2" w:rsidRPr="0003671C">
              <w:t>Texas'</w:t>
            </w:r>
            <w:r w:rsidR="009D41D9" w:rsidRPr="009D41D9">
              <w:t xml:space="preserve"> ceding insurers</w:t>
            </w:r>
            <w:r w:rsidR="00DC6CF2">
              <w:t xml:space="preserve"> and </w:t>
            </w:r>
            <w:r w:rsidR="00DC6CF2" w:rsidRPr="0003671C">
              <w:t>agree to</w:t>
            </w:r>
            <w:r w:rsidR="00DC6CF2">
              <w:t xml:space="preserve"> provide certain notice and security for liabilities if t</w:t>
            </w:r>
            <w:r w:rsidR="00DC6CF2" w:rsidRPr="0003671C">
              <w:t>hey</w:t>
            </w:r>
            <w:r w:rsidR="00DC6CF2">
              <w:t xml:space="preserve"> enter into such a scheme;</w:t>
            </w:r>
          </w:p>
          <w:p w14:paraId="7F1ED3F1" w14:textId="42D2B5B8" w:rsidR="00ED5F1E" w:rsidRDefault="00C000ED" w:rsidP="006B6422">
            <w:pPr>
              <w:pStyle w:val="Header"/>
              <w:numPr>
                <w:ilvl w:val="0"/>
                <w:numId w:val="9"/>
              </w:numPr>
              <w:jc w:val="both"/>
            </w:pPr>
            <w:r>
              <w:t>the assuming insurer or its legal successor provides to the commissioner, on request, any documentation required by the commissioner by rule;</w:t>
            </w:r>
          </w:p>
          <w:p w14:paraId="28922BA9" w14:textId="0FA26790" w:rsidR="00DC6CF2" w:rsidRDefault="00C000ED" w:rsidP="006B6422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the assuming insurer maintain</w:t>
            </w:r>
            <w:r w:rsidR="00550881">
              <w:t>s</w:t>
            </w:r>
            <w:r>
              <w:t xml:space="preserve"> a practice of prompt payment </w:t>
            </w:r>
            <w:r w:rsidRPr="00DC6CF2">
              <w:t xml:space="preserve">of claims under reinsurance agreements in accordance </w:t>
            </w:r>
            <w:r w:rsidRPr="00DC6CF2">
              <w:t>with criteria establis</w:t>
            </w:r>
            <w:r>
              <w:t>hed by the commissioner by rule;</w:t>
            </w:r>
            <w:r w:rsidR="009D411A">
              <w:t xml:space="preserve"> and</w:t>
            </w:r>
          </w:p>
          <w:p w14:paraId="42AB9788" w14:textId="0A327CB1" w:rsidR="00DC6CF2" w:rsidRDefault="00C000ED" w:rsidP="006B6422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the assuming insurer's supervisory authority annually confirms to the commissioner, as of the preceding December 31 or the annual date otherwise statutorily reported to the assuming insurer's recip</w:t>
            </w:r>
            <w:r>
              <w:t xml:space="preserve">rocal jurisdiction, that the assuming insurer complies with </w:t>
            </w:r>
            <w:r w:rsidR="00CE1CA5">
              <w:t>the applicable financial</w:t>
            </w:r>
            <w:r w:rsidR="00CE1CA5" w:rsidRPr="00D67EBD">
              <w:t xml:space="preserve"> </w:t>
            </w:r>
            <w:r w:rsidRPr="00D67EBD">
              <w:t>requirements</w:t>
            </w:r>
            <w:r>
              <w:t>.</w:t>
            </w:r>
          </w:p>
          <w:p w14:paraId="0D9813FB" w14:textId="7E111A08" w:rsidR="009D411A" w:rsidRDefault="009D411A" w:rsidP="006B6422">
            <w:pPr>
              <w:pStyle w:val="Header"/>
              <w:jc w:val="both"/>
            </w:pPr>
          </w:p>
          <w:p w14:paraId="65A83859" w14:textId="1E5E14DD" w:rsidR="004966AB" w:rsidRDefault="00C000ED" w:rsidP="006B6422">
            <w:pPr>
              <w:pStyle w:val="Header"/>
              <w:jc w:val="both"/>
            </w:pPr>
            <w:r>
              <w:t xml:space="preserve">C.S.H.B. 1689 </w:t>
            </w:r>
            <w:r w:rsidR="00E759E3">
              <w:t xml:space="preserve">authorizes the commissioner to </w:t>
            </w:r>
            <w:r w:rsidR="00E759E3" w:rsidRPr="00E759E3">
              <w:t>require that an assuming insurer include the consent for service of process in each reinsurance agreement to which the assuming insurer is a party</w:t>
            </w:r>
            <w:r w:rsidR="00E759E3">
              <w:t xml:space="preserve">. The bill </w:t>
            </w:r>
            <w:r>
              <w:t>classifies the following as reciprocal jurisdictions:</w:t>
            </w:r>
          </w:p>
          <w:p w14:paraId="239B3535" w14:textId="3A3B0EA8" w:rsidR="004966AB" w:rsidRDefault="00C000ED" w:rsidP="006B642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jurisdiction located outside of the United States or, in the case of a covered agreement</w:t>
            </w:r>
            <w:r w:rsidR="00C8097D">
              <w:t xml:space="preserve"> </w:t>
            </w:r>
            <w:r>
              <w:t xml:space="preserve">between the United States </w:t>
            </w:r>
            <w:r w:rsidRPr="00B137D4">
              <w:t>and</w:t>
            </w:r>
            <w:r>
              <w:t xml:space="preserve"> European Union, a member state of t</w:t>
            </w:r>
            <w:r>
              <w:t>he European Union, that is subject to an in-force covered agreement with the United States, each within its legal authority;</w:t>
            </w:r>
          </w:p>
          <w:p w14:paraId="1A093C92" w14:textId="6805E7C3" w:rsidR="004966AB" w:rsidRDefault="00C000ED" w:rsidP="006B6422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jurisdiction located in the United States that meets the requirements for accreditation under the National Association of Insuran</w:t>
            </w:r>
            <w:r>
              <w:t>ce Commissioners financial regulation standards and accreditation program; or</w:t>
            </w:r>
          </w:p>
          <w:p w14:paraId="558E7E53" w14:textId="00AC6B88" w:rsidR="001E4EEE" w:rsidRDefault="00C000ED" w:rsidP="006B6422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a qualified jurisdiction, as determined by the commissioner, that is not otherwise </w:t>
            </w:r>
            <w:r w:rsidR="00BB0AC8">
              <w:t>classified as a reciprocal jurisdiction</w:t>
            </w:r>
            <w:r>
              <w:t xml:space="preserve"> and meets certain additional requirements, consistent w</w:t>
            </w:r>
            <w:r>
              <w:t>ith the in-force covered agreements as specified by the commissioner by rule.</w:t>
            </w:r>
          </w:p>
          <w:p w14:paraId="71A5F980" w14:textId="5A223F3E" w:rsidR="001E4EEE" w:rsidRDefault="00C000ED" w:rsidP="006B6422">
            <w:pPr>
              <w:pStyle w:val="Header"/>
              <w:jc w:val="both"/>
            </w:pPr>
            <w:r>
              <w:t xml:space="preserve">The bill defines "covered agreement" as an agreement that is </w:t>
            </w:r>
            <w:r w:rsidRPr="001E4EEE">
              <w:t xml:space="preserve">entered into under the </w:t>
            </w:r>
            <w:r>
              <w:t xml:space="preserve">federal </w:t>
            </w:r>
            <w:r w:rsidRPr="001E4EEE">
              <w:t>Dodd-Frank Wall Street Reform and Consumer Protection Act</w:t>
            </w:r>
            <w:r>
              <w:t>,</w:t>
            </w:r>
            <w:r w:rsidR="001A0C69">
              <w:t xml:space="preserve"> that</w:t>
            </w:r>
            <w:r>
              <w:t xml:space="preserve"> is </w:t>
            </w:r>
            <w:r w:rsidRPr="001E4EEE">
              <w:t>in effect or in a p</w:t>
            </w:r>
            <w:r w:rsidRPr="001E4EEE">
              <w:t>eriod of provisional application</w:t>
            </w:r>
            <w:r>
              <w:t xml:space="preserve">, and </w:t>
            </w:r>
            <w:r w:rsidR="001A0C69">
              <w:t xml:space="preserve">that </w:t>
            </w:r>
            <w:r w:rsidRPr="001E4EEE">
              <w:t xml:space="preserve">addresses the elimination, under specified conditions, of collateral requirements as a condition for entering into a reinsurance agreement with a ceding insurer domiciled in </w:t>
            </w:r>
            <w:r w:rsidR="00C8097D">
              <w:t>Texas</w:t>
            </w:r>
            <w:r w:rsidRPr="001E4EEE">
              <w:t xml:space="preserve"> or allowing the ceding insurer to</w:t>
            </w:r>
            <w:r w:rsidRPr="001E4EEE">
              <w:t xml:space="preserve"> recognize credit for reinsurance.</w:t>
            </w:r>
          </w:p>
          <w:p w14:paraId="4951E26F" w14:textId="77777777" w:rsidR="004966AB" w:rsidRDefault="004966AB" w:rsidP="006B6422">
            <w:pPr>
              <w:pStyle w:val="Header"/>
              <w:jc w:val="both"/>
            </w:pPr>
          </w:p>
          <w:p w14:paraId="24206041" w14:textId="335074F3" w:rsidR="008423E4" w:rsidRDefault="00C000ED" w:rsidP="006B6422">
            <w:pPr>
              <w:pStyle w:val="Header"/>
              <w:jc w:val="both"/>
            </w:pPr>
            <w:r>
              <w:t>C.S.</w:t>
            </w:r>
            <w:r w:rsidR="009D411A">
              <w:t>H.B. 1689 requires the commission</w:t>
            </w:r>
            <w:r w:rsidR="00106508">
              <w:t>er</w:t>
            </w:r>
            <w:r w:rsidR="009D411A">
              <w:t xml:space="preserve"> to </w:t>
            </w:r>
            <w:r w:rsidR="009D411A" w:rsidRPr="00A6421C">
              <w:t>develop</w:t>
            </w:r>
            <w:r w:rsidR="009D411A" w:rsidRPr="009D411A">
              <w:t xml:space="preserve"> and publish </w:t>
            </w:r>
            <w:r w:rsidR="00E457C6">
              <w:t xml:space="preserve">not later than January 1, 2022, </w:t>
            </w:r>
            <w:r w:rsidR="009D411A" w:rsidRPr="009D411A">
              <w:t>a list of reciprocal jurisdictions</w:t>
            </w:r>
            <w:r w:rsidR="00106508">
              <w:t xml:space="preserve"> and a list of assuming insurers who satisfy the conditions necessary for credit under the bill. The bill sets out provisions related to those lists, including </w:t>
            </w:r>
            <w:r w:rsidR="00106508" w:rsidRPr="00A80A37">
              <w:t>with respect to</w:t>
            </w:r>
            <w:r w:rsidR="00106508">
              <w:t xml:space="preserve"> adding </w:t>
            </w:r>
            <w:r w:rsidR="00041CE7">
              <w:t xml:space="preserve">jurisdictions and insurers </w:t>
            </w:r>
            <w:r w:rsidR="003C2FCE">
              <w:t xml:space="preserve">to </w:t>
            </w:r>
            <w:r w:rsidR="00041CE7">
              <w:t xml:space="preserve">their respective lists </w:t>
            </w:r>
            <w:r w:rsidR="00106508">
              <w:t xml:space="preserve">and removing </w:t>
            </w:r>
            <w:r w:rsidR="00041CE7">
              <w:t>jurisdictions from the list</w:t>
            </w:r>
            <w:r w:rsidR="00106508">
              <w:t>.</w:t>
            </w:r>
            <w:r w:rsidR="0071741B">
              <w:t xml:space="preserve"> The bill </w:t>
            </w:r>
            <w:r w:rsidR="00C4392E">
              <w:t>authorizes</w:t>
            </w:r>
            <w:r w:rsidR="0071741B">
              <w:t xml:space="preserve"> the revocation or suspension of an assuming insurer</w:t>
            </w:r>
            <w:r w:rsidR="006A7F03">
              <w:t>'</w:t>
            </w:r>
            <w:r w:rsidR="0071741B">
              <w:t>s eligibility for credit under the bill</w:t>
            </w:r>
            <w:r w:rsidR="001E76DA">
              <w:t xml:space="preserve"> if the commissioner finds that the</w:t>
            </w:r>
            <w:r w:rsidR="001E76DA" w:rsidRPr="001E76DA">
              <w:t xml:space="preserve"> assuming insurer ceases to meet one or more of the </w:t>
            </w:r>
            <w:r w:rsidR="001E76DA">
              <w:t xml:space="preserve">applicable </w:t>
            </w:r>
            <w:r w:rsidR="001E76DA" w:rsidRPr="001E76DA">
              <w:t>requirements</w:t>
            </w:r>
            <w:r w:rsidR="0071741B">
              <w:t xml:space="preserve"> and sets out related provisions. The bill authorizes a ceding insurer who is subject to rehabilitation, liquidation, or conservation to seek and</w:t>
            </w:r>
            <w:r w:rsidR="00C4207F">
              <w:t>,</w:t>
            </w:r>
            <w:r w:rsidR="0071741B">
              <w:t xml:space="preserve"> if found appropriate by the court, obtain an order requiring </w:t>
            </w:r>
            <w:r w:rsidR="0071741B" w:rsidRPr="0071741B">
              <w:t>the assuming insurer to post security for all outstanding ceded liabilities</w:t>
            </w:r>
            <w:r w:rsidR="0071741B">
              <w:t>.</w:t>
            </w:r>
          </w:p>
          <w:p w14:paraId="197A1BAB" w14:textId="77777777" w:rsidR="0006537F" w:rsidRDefault="0006537F" w:rsidP="006B6422">
            <w:pPr>
              <w:pStyle w:val="Header"/>
              <w:jc w:val="both"/>
            </w:pPr>
          </w:p>
          <w:p w14:paraId="7B522231" w14:textId="11506A17" w:rsidR="0006537F" w:rsidRDefault="00C000ED" w:rsidP="006B6422">
            <w:pPr>
              <w:pStyle w:val="Header"/>
              <w:jc w:val="both"/>
            </w:pPr>
            <w:r>
              <w:t xml:space="preserve">C.S.H.B. 1689 </w:t>
            </w:r>
            <w:r w:rsidR="00E457C6" w:rsidRPr="0002529B">
              <w:t>provides for the</w:t>
            </w:r>
            <w:r w:rsidRPr="0002529B">
              <w:t xml:space="preserve"> effect </w:t>
            </w:r>
            <w:r w:rsidR="00E457C6" w:rsidRPr="0002529B">
              <w:t xml:space="preserve">and construction </w:t>
            </w:r>
            <w:r w:rsidRPr="0002529B">
              <w:t>of its provisions</w:t>
            </w:r>
            <w:r>
              <w:t xml:space="preserve"> and applies only to the following:</w:t>
            </w:r>
          </w:p>
          <w:p w14:paraId="6EE5425E" w14:textId="77777777" w:rsidR="0006537F" w:rsidRPr="0006537F" w:rsidRDefault="00C000ED" w:rsidP="006B6422">
            <w:pPr>
              <w:pStyle w:val="Header"/>
              <w:numPr>
                <w:ilvl w:val="0"/>
                <w:numId w:val="3"/>
              </w:numPr>
              <w:jc w:val="both"/>
            </w:pPr>
            <w:r w:rsidRPr="0006537F">
              <w:t>credit under a reinsurance agreement that is delivered, issued for delivery, or renewed on or after January 1, 2022; and</w:t>
            </w:r>
          </w:p>
          <w:p w14:paraId="6C3000B0" w14:textId="0EC3B2D3" w:rsidR="0006537F" w:rsidRPr="0006537F" w:rsidRDefault="00C000ED" w:rsidP="006B6422">
            <w:pPr>
              <w:pStyle w:val="Header"/>
              <w:numPr>
                <w:ilvl w:val="0"/>
                <w:numId w:val="3"/>
              </w:numPr>
              <w:jc w:val="both"/>
            </w:pPr>
            <w:r w:rsidRPr="0006537F">
              <w:t>losses incurred and reserves reported on o</w:t>
            </w:r>
            <w:r w:rsidRPr="0006537F">
              <w:t>r after the later of:</w:t>
            </w:r>
          </w:p>
          <w:p w14:paraId="0897598D" w14:textId="528219A8" w:rsidR="0006537F" w:rsidRPr="0006537F" w:rsidRDefault="00C000ED" w:rsidP="006B6422">
            <w:pPr>
              <w:pStyle w:val="Header"/>
              <w:numPr>
                <w:ilvl w:val="1"/>
                <w:numId w:val="3"/>
              </w:numPr>
              <w:ind w:left="1500"/>
              <w:jc w:val="both"/>
            </w:pPr>
            <w:r w:rsidRPr="0006537F">
              <w:t xml:space="preserve">the date on which the assuming insurer has met all </w:t>
            </w:r>
            <w:r w:rsidR="00B137D4" w:rsidRPr="00B137D4">
              <w:t>applicabl</w:t>
            </w:r>
            <w:r w:rsidR="00B137D4">
              <w:t xml:space="preserve">e </w:t>
            </w:r>
            <w:r w:rsidRPr="0006537F">
              <w:t xml:space="preserve">eligibility requirements </w:t>
            </w:r>
            <w:r>
              <w:t>for credit</w:t>
            </w:r>
            <w:r w:rsidRPr="0006537F">
              <w:t>; and</w:t>
            </w:r>
          </w:p>
          <w:p w14:paraId="2412B49D" w14:textId="7B81C1ED" w:rsidR="0006537F" w:rsidRPr="0006537F" w:rsidRDefault="00C000ED" w:rsidP="006B6422">
            <w:pPr>
              <w:pStyle w:val="Header"/>
              <w:numPr>
                <w:ilvl w:val="1"/>
                <w:numId w:val="3"/>
              </w:numPr>
              <w:ind w:left="1500"/>
              <w:jc w:val="both"/>
              <w:rPr>
                <w:b/>
              </w:rPr>
            </w:pPr>
            <w:r w:rsidRPr="0006537F">
              <w:t>the effective date of the applicable reinsurance agreement, amendment, or renewal.</w:t>
            </w:r>
          </w:p>
          <w:p w14:paraId="6B435591" w14:textId="5EA61223" w:rsidR="0006537F" w:rsidRPr="00835628" w:rsidRDefault="0006537F" w:rsidP="006B6422">
            <w:pPr>
              <w:pStyle w:val="Header"/>
              <w:jc w:val="both"/>
              <w:rPr>
                <w:b/>
              </w:rPr>
            </w:pPr>
          </w:p>
        </w:tc>
      </w:tr>
      <w:tr w:rsidR="0014522A" w14:paraId="5C81812E" w14:textId="77777777" w:rsidTr="00345119">
        <w:tc>
          <w:tcPr>
            <w:tcW w:w="9576" w:type="dxa"/>
          </w:tcPr>
          <w:p w14:paraId="73B9BE81" w14:textId="77777777" w:rsidR="008423E4" w:rsidRPr="00A8133F" w:rsidRDefault="00C000ED" w:rsidP="006B64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7CE518D" w14:textId="77777777" w:rsidR="008423E4" w:rsidRDefault="008423E4" w:rsidP="006B6422"/>
          <w:p w14:paraId="011B5D47" w14:textId="77777777" w:rsidR="008423E4" w:rsidRPr="003624F2" w:rsidRDefault="00C000ED" w:rsidP="006B64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11D6121C" w14:textId="77777777" w:rsidR="008423E4" w:rsidRPr="00233FDB" w:rsidRDefault="008423E4" w:rsidP="006B6422">
            <w:pPr>
              <w:rPr>
                <w:b/>
              </w:rPr>
            </w:pPr>
          </w:p>
        </w:tc>
      </w:tr>
      <w:tr w:rsidR="0014522A" w14:paraId="071D82A8" w14:textId="77777777" w:rsidTr="00345119">
        <w:tc>
          <w:tcPr>
            <w:tcW w:w="9576" w:type="dxa"/>
          </w:tcPr>
          <w:p w14:paraId="1BDEB0A2" w14:textId="77777777" w:rsidR="006B4643" w:rsidRDefault="00C000ED" w:rsidP="006B64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14:paraId="63FEC289" w14:textId="77777777" w:rsidR="00B73AAA" w:rsidRDefault="00B73AAA" w:rsidP="006B6422">
            <w:pPr>
              <w:jc w:val="both"/>
            </w:pPr>
          </w:p>
          <w:p w14:paraId="3816B603" w14:textId="6F2275CB" w:rsidR="00B73AAA" w:rsidRDefault="00C000ED" w:rsidP="006B6422">
            <w:pPr>
              <w:jc w:val="both"/>
            </w:pPr>
            <w:r>
              <w:t>While C.S.H.B. 1689 may differ from the original in minor or nonsubstantive ways, the following summarizes the substantial differences between the introduced and committee substitute versions of the bill.</w:t>
            </w:r>
          </w:p>
          <w:p w14:paraId="68A71AE8" w14:textId="25404767" w:rsidR="00B73AAA" w:rsidRDefault="00B73AAA" w:rsidP="006B6422">
            <w:pPr>
              <w:jc w:val="both"/>
            </w:pPr>
          </w:p>
          <w:p w14:paraId="2E000BDE" w14:textId="2B59DBAD" w:rsidR="00B73AAA" w:rsidRDefault="00C000ED" w:rsidP="006B6422">
            <w:pPr>
              <w:jc w:val="both"/>
            </w:pPr>
            <w:r>
              <w:t>The substitute replac</w:t>
            </w:r>
            <w:r>
              <w:t>es the requirement for an</w:t>
            </w:r>
            <w:r w:rsidRPr="00B73AAA">
              <w:t xml:space="preserve"> assuming insurer's supervisory authority </w:t>
            </w:r>
            <w:r>
              <w:t>to</w:t>
            </w:r>
            <w:r w:rsidRPr="00B73AAA">
              <w:t xml:space="preserve"> annually confirm to the commissioner</w:t>
            </w:r>
            <w:r>
              <w:t xml:space="preserve"> that the assuming insurer complies with certain requirements relating to</w:t>
            </w:r>
            <w:r w:rsidR="00A20DA0">
              <w:t xml:space="preserve"> the assuming insurer's</w:t>
            </w:r>
            <w:r>
              <w:t xml:space="preserve"> qualification as a reciprocal jurisdiction with a req</w:t>
            </w:r>
            <w:r>
              <w:t xml:space="preserve">uirement for the supervisory authority to annually confirm </w:t>
            </w:r>
            <w:r w:rsidR="003A33DB">
              <w:t xml:space="preserve">the assuming insurer's </w:t>
            </w:r>
            <w:r>
              <w:t>compliance with applicable financial requirements.</w:t>
            </w:r>
          </w:p>
          <w:p w14:paraId="26402D7B" w14:textId="6295B2B8" w:rsidR="00B73AAA" w:rsidRPr="00B73AAA" w:rsidRDefault="00B73AAA" w:rsidP="006B6422">
            <w:pPr>
              <w:jc w:val="both"/>
            </w:pPr>
          </w:p>
        </w:tc>
      </w:tr>
      <w:tr w:rsidR="0014522A" w14:paraId="7FFC7B14" w14:textId="77777777" w:rsidTr="00345119">
        <w:tc>
          <w:tcPr>
            <w:tcW w:w="9576" w:type="dxa"/>
          </w:tcPr>
          <w:p w14:paraId="0E2D6EB3" w14:textId="77777777" w:rsidR="006B4643" w:rsidRPr="009C1E9A" w:rsidRDefault="006B4643" w:rsidP="006B6422">
            <w:pPr>
              <w:rPr>
                <w:b/>
                <w:u w:val="single"/>
              </w:rPr>
            </w:pPr>
          </w:p>
        </w:tc>
      </w:tr>
      <w:tr w:rsidR="0014522A" w14:paraId="2C4C5CEE" w14:textId="77777777" w:rsidTr="00345119">
        <w:tc>
          <w:tcPr>
            <w:tcW w:w="9576" w:type="dxa"/>
          </w:tcPr>
          <w:p w14:paraId="04F7AA49" w14:textId="77777777" w:rsidR="006B4643" w:rsidRPr="006B4643" w:rsidRDefault="006B4643" w:rsidP="006B6422">
            <w:pPr>
              <w:jc w:val="both"/>
            </w:pPr>
          </w:p>
        </w:tc>
      </w:tr>
    </w:tbl>
    <w:p w14:paraId="6F45B237" w14:textId="77777777" w:rsidR="008423E4" w:rsidRPr="00BE0E75" w:rsidRDefault="008423E4" w:rsidP="006B6422">
      <w:pPr>
        <w:jc w:val="both"/>
        <w:rPr>
          <w:rFonts w:ascii="Arial" w:hAnsi="Arial"/>
          <w:sz w:val="16"/>
          <w:szCs w:val="16"/>
        </w:rPr>
      </w:pPr>
    </w:p>
    <w:p w14:paraId="5FD2CABC" w14:textId="77777777" w:rsidR="004108C3" w:rsidRPr="008423E4" w:rsidRDefault="004108C3" w:rsidP="006B642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22B3" w14:textId="77777777" w:rsidR="00000000" w:rsidRDefault="00C000ED">
      <w:r>
        <w:separator/>
      </w:r>
    </w:p>
  </w:endnote>
  <w:endnote w:type="continuationSeparator" w:id="0">
    <w:p w14:paraId="5E5A63DA" w14:textId="77777777" w:rsidR="00000000" w:rsidRDefault="00C0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AB9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522A" w14:paraId="20676E48" w14:textId="77777777" w:rsidTr="009C1E9A">
      <w:trPr>
        <w:cantSplit/>
      </w:trPr>
      <w:tc>
        <w:tcPr>
          <w:tcW w:w="0" w:type="pct"/>
        </w:tcPr>
        <w:p w14:paraId="3F121A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96CF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AC84E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72E2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B6D6F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522A" w14:paraId="211A9389" w14:textId="77777777" w:rsidTr="009C1E9A">
      <w:trPr>
        <w:cantSplit/>
      </w:trPr>
      <w:tc>
        <w:tcPr>
          <w:tcW w:w="0" w:type="pct"/>
        </w:tcPr>
        <w:p w14:paraId="3AFE93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66C8D1" w14:textId="5D009D3D" w:rsidR="00EC379B" w:rsidRPr="009C1E9A" w:rsidRDefault="00C000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16774</w:t>
          </w:r>
        </w:p>
      </w:tc>
      <w:tc>
        <w:tcPr>
          <w:tcW w:w="2453" w:type="pct"/>
        </w:tcPr>
        <w:p w14:paraId="2932E8D2" w14:textId="3698CE72" w:rsidR="00EC379B" w:rsidRDefault="00C000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D355E">
            <w:t>21.82.1407</w:t>
          </w:r>
          <w:r>
            <w:fldChar w:fldCharType="end"/>
          </w:r>
        </w:p>
      </w:tc>
    </w:tr>
    <w:tr w:rsidR="0014522A" w14:paraId="4C73E1CA" w14:textId="77777777" w:rsidTr="009C1E9A">
      <w:trPr>
        <w:cantSplit/>
      </w:trPr>
      <w:tc>
        <w:tcPr>
          <w:tcW w:w="0" w:type="pct"/>
        </w:tcPr>
        <w:p w14:paraId="139AC1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EC8768" w14:textId="6815997B" w:rsidR="00EC379B" w:rsidRPr="009C1E9A" w:rsidRDefault="00C000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13497</w:t>
          </w:r>
        </w:p>
      </w:tc>
      <w:tc>
        <w:tcPr>
          <w:tcW w:w="2453" w:type="pct"/>
        </w:tcPr>
        <w:p w14:paraId="371374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6562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522A" w14:paraId="6883742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4A9D7E1" w14:textId="5669C683" w:rsidR="00EC379B" w:rsidRDefault="00C000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03E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CB9E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0B4F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C54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430F" w14:textId="77777777" w:rsidR="00000000" w:rsidRDefault="00C000ED">
      <w:r>
        <w:separator/>
      </w:r>
    </w:p>
  </w:footnote>
  <w:footnote w:type="continuationSeparator" w:id="0">
    <w:p w14:paraId="6A2AFCFD" w14:textId="77777777" w:rsidR="00000000" w:rsidRDefault="00C0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059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E7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B100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AE"/>
    <w:multiLevelType w:val="hybridMultilevel"/>
    <w:tmpl w:val="C3562FB6"/>
    <w:lvl w:ilvl="0" w:tplc="CF8A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04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00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A4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8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AE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EE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0F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581"/>
    <w:multiLevelType w:val="hybridMultilevel"/>
    <w:tmpl w:val="3FFE578E"/>
    <w:lvl w:ilvl="0" w:tplc="9B5A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4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69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A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28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E6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26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EB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46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75F"/>
    <w:multiLevelType w:val="hybridMultilevel"/>
    <w:tmpl w:val="980C7EB6"/>
    <w:lvl w:ilvl="0" w:tplc="EA3CB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60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0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A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5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8E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A8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7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6E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27B6"/>
    <w:multiLevelType w:val="hybridMultilevel"/>
    <w:tmpl w:val="FC365B30"/>
    <w:lvl w:ilvl="0" w:tplc="427C0532">
      <w:start w:val="1"/>
      <w:numFmt w:val="upperLetter"/>
      <w:lvlText w:val="(%1)"/>
      <w:lvlJc w:val="left"/>
      <w:pPr>
        <w:ind w:left="855" w:hanging="495"/>
      </w:pPr>
      <w:rPr>
        <w:rFonts w:hint="default"/>
      </w:rPr>
    </w:lvl>
    <w:lvl w:ilvl="1" w:tplc="C9BA833E" w:tentative="1">
      <w:start w:val="1"/>
      <w:numFmt w:val="lowerLetter"/>
      <w:lvlText w:val="%2."/>
      <w:lvlJc w:val="left"/>
      <w:pPr>
        <w:ind w:left="1440" w:hanging="360"/>
      </w:pPr>
    </w:lvl>
    <w:lvl w:ilvl="2" w:tplc="6374F2EE" w:tentative="1">
      <w:start w:val="1"/>
      <w:numFmt w:val="lowerRoman"/>
      <w:lvlText w:val="%3."/>
      <w:lvlJc w:val="right"/>
      <w:pPr>
        <w:ind w:left="2160" w:hanging="180"/>
      </w:pPr>
    </w:lvl>
    <w:lvl w:ilvl="3" w:tplc="593AA212" w:tentative="1">
      <w:start w:val="1"/>
      <w:numFmt w:val="decimal"/>
      <w:lvlText w:val="%4."/>
      <w:lvlJc w:val="left"/>
      <w:pPr>
        <w:ind w:left="2880" w:hanging="360"/>
      </w:pPr>
    </w:lvl>
    <w:lvl w:ilvl="4" w:tplc="F61070C0" w:tentative="1">
      <w:start w:val="1"/>
      <w:numFmt w:val="lowerLetter"/>
      <w:lvlText w:val="%5."/>
      <w:lvlJc w:val="left"/>
      <w:pPr>
        <w:ind w:left="3600" w:hanging="360"/>
      </w:pPr>
    </w:lvl>
    <w:lvl w:ilvl="5" w:tplc="109C788E" w:tentative="1">
      <w:start w:val="1"/>
      <w:numFmt w:val="lowerRoman"/>
      <w:lvlText w:val="%6."/>
      <w:lvlJc w:val="right"/>
      <w:pPr>
        <w:ind w:left="4320" w:hanging="180"/>
      </w:pPr>
    </w:lvl>
    <w:lvl w:ilvl="6" w:tplc="3FFAB03A" w:tentative="1">
      <w:start w:val="1"/>
      <w:numFmt w:val="decimal"/>
      <w:lvlText w:val="%7."/>
      <w:lvlJc w:val="left"/>
      <w:pPr>
        <w:ind w:left="5040" w:hanging="360"/>
      </w:pPr>
    </w:lvl>
    <w:lvl w:ilvl="7" w:tplc="3CB20BDA" w:tentative="1">
      <w:start w:val="1"/>
      <w:numFmt w:val="lowerLetter"/>
      <w:lvlText w:val="%8."/>
      <w:lvlJc w:val="left"/>
      <w:pPr>
        <w:ind w:left="5760" w:hanging="360"/>
      </w:pPr>
    </w:lvl>
    <w:lvl w:ilvl="8" w:tplc="F0604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6A64"/>
    <w:multiLevelType w:val="hybridMultilevel"/>
    <w:tmpl w:val="80A82D96"/>
    <w:lvl w:ilvl="0" w:tplc="CB204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5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EF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2B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E3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AD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C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63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2D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0F58"/>
    <w:multiLevelType w:val="hybridMultilevel"/>
    <w:tmpl w:val="A5ECC3AA"/>
    <w:lvl w:ilvl="0" w:tplc="C7A0E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2A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EC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4F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C9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20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20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A6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2C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832"/>
    <w:multiLevelType w:val="hybridMultilevel"/>
    <w:tmpl w:val="4252A938"/>
    <w:lvl w:ilvl="0" w:tplc="801A0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CC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47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9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E9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8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1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4C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242BB"/>
    <w:multiLevelType w:val="hybridMultilevel"/>
    <w:tmpl w:val="9A3C554C"/>
    <w:lvl w:ilvl="0" w:tplc="4A6C6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5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40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1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62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68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C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C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25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14F9"/>
    <w:multiLevelType w:val="hybridMultilevel"/>
    <w:tmpl w:val="6D829E7E"/>
    <w:lvl w:ilvl="0" w:tplc="8C2272E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108E042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726B23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24ABF4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8F367A9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16E304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6ACD24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EAB0F3C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976ACD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D841D80"/>
    <w:multiLevelType w:val="hybridMultilevel"/>
    <w:tmpl w:val="F580E3C4"/>
    <w:lvl w:ilvl="0" w:tplc="764A9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82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46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EA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25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E0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EB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E3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29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47718"/>
    <w:multiLevelType w:val="hybridMultilevel"/>
    <w:tmpl w:val="4C5A9A52"/>
    <w:lvl w:ilvl="0" w:tplc="4C98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87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8C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D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8D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A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D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C1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6E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785"/>
    <w:rsid w:val="000249F2"/>
    <w:rsid w:val="0002529B"/>
    <w:rsid w:val="00027E81"/>
    <w:rsid w:val="00030AD8"/>
    <w:rsid w:val="0003107A"/>
    <w:rsid w:val="00031C95"/>
    <w:rsid w:val="000330D4"/>
    <w:rsid w:val="00033836"/>
    <w:rsid w:val="0003572D"/>
    <w:rsid w:val="00035DB0"/>
    <w:rsid w:val="0003671C"/>
    <w:rsid w:val="00037088"/>
    <w:rsid w:val="000400D5"/>
    <w:rsid w:val="00041CE7"/>
    <w:rsid w:val="00043B84"/>
    <w:rsid w:val="0004512B"/>
    <w:rsid w:val="00045159"/>
    <w:rsid w:val="000463F0"/>
    <w:rsid w:val="00046BDA"/>
    <w:rsid w:val="0004762E"/>
    <w:rsid w:val="000532BD"/>
    <w:rsid w:val="00055C12"/>
    <w:rsid w:val="000608B0"/>
    <w:rsid w:val="0006104C"/>
    <w:rsid w:val="00064BF2"/>
    <w:rsid w:val="0006537F"/>
    <w:rsid w:val="000667BA"/>
    <w:rsid w:val="000676A7"/>
    <w:rsid w:val="00073914"/>
    <w:rsid w:val="00074236"/>
    <w:rsid w:val="000746BD"/>
    <w:rsid w:val="00076D7D"/>
    <w:rsid w:val="00080D95"/>
    <w:rsid w:val="000871F6"/>
    <w:rsid w:val="00090E6B"/>
    <w:rsid w:val="00091B2C"/>
    <w:rsid w:val="00092ABC"/>
    <w:rsid w:val="00097AAF"/>
    <w:rsid w:val="00097D13"/>
    <w:rsid w:val="00097F3F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EB"/>
    <w:rsid w:val="000C7F1D"/>
    <w:rsid w:val="000D2EBA"/>
    <w:rsid w:val="000D32A1"/>
    <w:rsid w:val="000D3725"/>
    <w:rsid w:val="000D46E5"/>
    <w:rsid w:val="000D769C"/>
    <w:rsid w:val="000D76C8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50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18B"/>
    <w:rsid w:val="00137D90"/>
    <w:rsid w:val="00141FB6"/>
    <w:rsid w:val="00142F8E"/>
    <w:rsid w:val="00143C8B"/>
    <w:rsid w:val="0014522A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C6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340"/>
    <w:rsid w:val="001D37A8"/>
    <w:rsid w:val="001D462E"/>
    <w:rsid w:val="001D4698"/>
    <w:rsid w:val="001E2CAD"/>
    <w:rsid w:val="001E34DB"/>
    <w:rsid w:val="001E37CD"/>
    <w:rsid w:val="001E4070"/>
    <w:rsid w:val="001E4EEE"/>
    <w:rsid w:val="001E655E"/>
    <w:rsid w:val="001E76DA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11A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EF1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881"/>
    <w:rsid w:val="002E21B8"/>
    <w:rsid w:val="002E7DF9"/>
    <w:rsid w:val="002F097B"/>
    <w:rsid w:val="002F3111"/>
    <w:rsid w:val="002F4AEC"/>
    <w:rsid w:val="002F6D40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3C92"/>
    <w:rsid w:val="0033543B"/>
    <w:rsid w:val="00336BA4"/>
    <w:rsid w:val="00336C7A"/>
    <w:rsid w:val="00337392"/>
    <w:rsid w:val="00337659"/>
    <w:rsid w:val="003427C9"/>
    <w:rsid w:val="00343A92"/>
    <w:rsid w:val="00344530"/>
    <w:rsid w:val="003446DC"/>
    <w:rsid w:val="00344C0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3DB"/>
    <w:rsid w:val="003A4599"/>
    <w:rsid w:val="003A6B6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FCE"/>
    <w:rsid w:val="003C36FD"/>
    <w:rsid w:val="003C664C"/>
    <w:rsid w:val="003D726D"/>
    <w:rsid w:val="003E05F1"/>
    <w:rsid w:val="003E0875"/>
    <w:rsid w:val="003E0BB8"/>
    <w:rsid w:val="003E6CB0"/>
    <w:rsid w:val="003F1F5E"/>
    <w:rsid w:val="003F286A"/>
    <w:rsid w:val="003F6AA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303"/>
    <w:rsid w:val="00415139"/>
    <w:rsid w:val="0041528D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BF6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6AB"/>
    <w:rsid w:val="0049682B"/>
    <w:rsid w:val="004A03F7"/>
    <w:rsid w:val="004A081C"/>
    <w:rsid w:val="004A123F"/>
    <w:rsid w:val="004A2172"/>
    <w:rsid w:val="004B138F"/>
    <w:rsid w:val="004B2A57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B04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881"/>
    <w:rsid w:val="00551CA6"/>
    <w:rsid w:val="00555034"/>
    <w:rsid w:val="0055551C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DD3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B55"/>
    <w:rsid w:val="005D30AB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18A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B1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B88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B8D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A7F03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643"/>
    <w:rsid w:val="006B54C5"/>
    <w:rsid w:val="006B5E80"/>
    <w:rsid w:val="006B6422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41B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183"/>
    <w:rsid w:val="007509BE"/>
    <w:rsid w:val="0075287B"/>
    <w:rsid w:val="00755C7B"/>
    <w:rsid w:val="00764786"/>
    <w:rsid w:val="00766E12"/>
    <w:rsid w:val="00770179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5FF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210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866"/>
    <w:rsid w:val="008F5E16"/>
    <w:rsid w:val="008F5EFC"/>
    <w:rsid w:val="008F7AA4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67B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11A"/>
    <w:rsid w:val="009D41D9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5"/>
    <w:rsid w:val="00A1446F"/>
    <w:rsid w:val="00A151B5"/>
    <w:rsid w:val="00A203D2"/>
    <w:rsid w:val="00A20DA0"/>
    <w:rsid w:val="00A220FF"/>
    <w:rsid w:val="00A227E0"/>
    <w:rsid w:val="00A232E4"/>
    <w:rsid w:val="00A24AAD"/>
    <w:rsid w:val="00A255E6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21C"/>
    <w:rsid w:val="00A644B8"/>
    <w:rsid w:val="00A70E35"/>
    <w:rsid w:val="00A720DC"/>
    <w:rsid w:val="00A803CF"/>
    <w:rsid w:val="00A80A37"/>
    <w:rsid w:val="00A8133F"/>
    <w:rsid w:val="00A82CB4"/>
    <w:rsid w:val="00A837A8"/>
    <w:rsid w:val="00A83C36"/>
    <w:rsid w:val="00A9254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00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EEB"/>
    <w:rsid w:val="00B03E51"/>
    <w:rsid w:val="00B04E79"/>
    <w:rsid w:val="00B07488"/>
    <w:rsid w:val="00B075A2"/>
    <w:rsid w:val="00B10DD2"/>
    <w:rsid w:val="00B115DC"/>
    <w:rsid w:val="00B11952"/>
    <w:rsid w:val="00B137D4"/>
    <w:rsid w:val="00B14BD2"/>
    <w:rsid w:val="00B1557F"/>
    <w:rsid w:val="00B1572F"/>
    <w:rsid w:val="00B1668D"/>
    <w:rsid w:val="00B17981"/>
    <w:rsid w:val="00B2022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AAA"/>
    <w:rsid w:val="00B73BB4"/>
    <w:rsid w:val="00B80532"/>
    <w:rsid w:val="00B82039"/>
    <w:rsid w:val="00B82454"/>
    <w:rsid w:val="00B86812"/>
    <w:rsid w:val="00B90097"/>
    <w:rsid w:val="00B90999"/>
    <w:rsid w:val="00B91AD7"/>
    <w:rsid w:val="00B92D23"/>
    <w:rsid w:val="00B95BC8"/>
    <w:rsid w:val="00B96E87"/>
    <w:rsid w:val="00BA146A"/>
    <w:rsid w:val="00BA32EE"/>
    <w:rsid w:val="00BB0AC8"/>
    <w:rsid w:val="00BB5B36"/>
    <w:rsid w:val="00BB633B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55E"/>
    <w:rsid w:val="00BD4E55"/>
    <w:rsid w:val="00BD513B"/>
    <w:rsid w:val="00BD5E52"/>
    <w:rsid w:val="00BE00CD"/>
    <w:rsid w:val="00BE0E75"/>
    <w:rsid w:val="00BE1789"/>
    <w:rsid w:val="00BE28FE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0ED"/>
    <w:rsid w:val="00C013F4"/>
    <w:rsid w:val="00C037AC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07F"/>
    <w:rsid w:val="00C42B41"/>
    <w:rsid w:val="00C4392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60E"/>
    <w:rsid w:val="00C75C5E"/>
    <w:rsid w:val="00C7669F"/>
    <w:rsid w:val="00C76C0B"/>
    <w:rsid w:val="00C76DFF"/>
    <w:rsid w:val="00C8097D"/>
    <w:rsid w:val="00C80B8F"/>
    <w:rsid w:val="00C82743"/>
    <w:rsid w:val="00C834CE"/>
    <w:rsid w:val="00C9047F"/>
    <w:rsid w:val="00C91F65"/>
    <w:rsid w:val="00C92310"/>
    <w:rsid w:val="00C930B2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9E7"/>
    <w:rsid w:val="00CC7131"/>
    <w:rsid w:val="00CC7B9E"/>
    <w:rsid w:val="00CD06CA"/>
    <w:rsid w:val="00CD076A"/>
    <w:rsid w:val="00CD180C"/>
    <w:rsid w:val="00CD2AC3"/>
    <w:rsid w:val="00CD37DA"/>
    <w:rsid w:val="00CD4F2C"/>
    <w:rsid w:val="00CD731C"/>
    <w:rsid w:val="00CE08E8"/>
    <w:rsid w:val="00CE1CA5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733A"/>
    <w:rsid w:val="00D6131A"/>
    <w:rsid w:val="00D61611"/>
    <w:rsid w:val="00D61784"/>
    <w:rsid w:val="00D6178A"/>
    <w:rsid w:val="00D62717"/>
    <w:rsid w:val="00D63B53"/>
    <w:rsid w:val="00D64B88"/>
    <w:rsid w:val="00D64DC5"/>
    <w:rsid w:val="00D66BA6"/>
    <w:rsid w:val="00D67EBD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D04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20B"/>
    <w:rsid w:val="00DB758F"/>
    <w:rsid w:val="00DC1F1B"/>
    <w:rsid w:val="00DC3D8F"/>
    <w:rsid w:val="00DC42E8"/>
    <w:rsid w:val="00DC6CF2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B01"/>
    <w:rsid w:val="00E14079"/>
    <w:rsid w:val="00E15F90"/>
    <w:rsid w:val="00E16068"/>
    <w:rsid w:val="00E16D3E"/>
    <w:rsid w:val="00E17167"/>
    <w:rsid w:val="00E20520"/>
    <w:rsid w:val="00E21D55"/>
    <w:rsid w:val="00E21FDC"/>
    <w:rsid w:val="00E24118"/>
    <w:rsid w:val="00E2551E"/>
    <w:rsid w:val="00E26B13"/>
    <w:rsid w:val="00E27E5A"/>
    <w:rsid w:val="00E31135"/>
    <w:rsid w:val="00E317BA"/>
    <w:rsid w:val="00E32C20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7C6"/>
    <w:rsid w:val="00E500F1"/>
    <w:rsid w:val="00E51446"/>
    <w:rsid w:val="00E529C8"/>
    <w:rsid w:val="00E550EB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707"/>
    <w:rsid w:val="00E759E3"/>
    <w:rsid w:val="00E76453"/>
    <w:rsid w:val="00E77353"/>
    <w:rsid w:val="00E775AE"/>
    <w:rsid w:val="00E803C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7C9"/>
    <w:rsid w:val="00EA385A"/>
    <w:rsid w:val="00EA3931"/>
    <w:rsid w:val="00EA658E"/>
    <w:rsid w:val="00EA7A88"/>
    <w:rsid w:val="00EB27F2"/>
    <w:rsid w:val="00EB3928"/>
    <w:rsid w:val="00EB3CBF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F1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C98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70F"/>
    <w:rsid w:val="00F647B8"/>
    <w:rsid w:val="00F6514B"/>
    <w:rsid w:val="00F6587F"/>
    <w:rsid w:val="00F67981"/>
    <w:rsid w:val="00F706CA"/>
    <w:rsid w:val="00F70F8D"/>
    <w:rsid w:val="00F71157"/>
    <w:rsid w:val="00F71C5A"/>
    <w:rsid w:val="00F733A4"/>
    <w:rsid w:val="00F7758F"/>
    <w:rsid w:val="00F82811"/>
    <w:rsid w:val="00F84153"/>
    <w:rsid w:val="00F85661"/>
    <w:rsid w:val="00F96602"/>
    <w:rsid w:val="00F9735A"/>
    <w:rsid w:val="00FA1A08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5F3A5-0AB1-45A2-AE06-20AB467C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38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881"/>
    <w:rPr>
      <w:b/>
      <w:bCs/>
    </w:rPr>
  </w:style>
  <w:style w:type="character" w:styleId="Hyperlink">
    <w:name w:val="Hyperlink"/>
    <w:basedOn w:val="DefaultParagraphFont"/>
    <w:unhideWhenUsed/>
    <w:rsid w:val="00746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6773</Characters>
  <Application>Microsoft Office Word</Application>
  <DocSecurity>4</DocSecurity>
  <Lines>138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HB01689 (Committee Report (Substituted))</vt:lpstr>
    </vt:vector>
  </TitlesOfParts>
  <Company>State of Texas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16774</dc:subject>
  <dc:creator>State of Texas</dc:creator>
  <dc:description>HB 1689 by Oliverson-(H)Insurance (Substitute Document Number: 87R 13497)</dc:description>
  <cp:lastModifiedBy>Emma Bodisch</cp:lastModifiedBy>
  <cp:revision>2</cp:revision>
  <cp:lastPrinted>2003-11-26T17:21:00Z</cp:lastPrinted>
  <dcterms:created xsi:type="dcterms:W3CDTF">2021-03-26T19:52:00Z</dcterms:created>
  <dcterms:modified xsi:type="dcterms:W3CDTF">2021-03-26T19:52:00Z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21.82.1407</vt:lpwstr>
  </property>
</Properties>
</file>