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6691A" w14:paraId="0215944B" w14:textId="77777777" w:rsidTr="00345119">
        <w:tc>
          <w:tcPr>
            <w:tcW w:w="9576" w:type="dxa"/>
            <w:noWrap/>
          </w:tcPr>
          <w:p w14:paraId="5214C6A5" w14:textId="77777777" w:rsidR="008423E4" w:rsidRPr="0022177D" w:rsidRDefault="001A5387" w:rsidP="00C36FD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0E6A763" w14:textId="77777777" w:rsidR="008423E4" w:rsidRPr="0022177D" w:rsidRDefault="008423E4" w:rsidP="00C36FD9">
      <w:pPr>
        <w:jc w:val="center"/>
      </w:pPr>
    </w:p>
    <w:p w14:paraId="7BB045E6" w14:textId="77777777" w:rsidR="008423E4" w:rsidRPr="00B31F0E" w:rsidRDefault="008423E4" w:rsidP="00C36FD9"/>
    <w:p w14:paraId="34767D98" w14:textId="77777777" w:rsidR="008423E4" w:rsidRPr="00742794" w:rsidRDefault="008423E4" w:rsidP="00C36FD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6691A" w14:paraId="2DA5453A" w14:textId="77777777" w:rsidTr="00345119">
        <w:tc>
          <w:tcPr>
            <w:tcW w:w="9576" w:type="dxa"/>
          </w:tcPr>
          <w:p w14:paraId="40BCFF91" w14:textId="72A7F909" w:rsidR="008423E4" w:rsidRPr="00861995" w:rsidRDefault="001A5387" w:rsidP="00C36FD9">
            <w:pPr>
              <w:jc w:val="right"/>
            </w:pPr>
            <w:r>
              <w:t>H.B. 1694</w:t>
            </w:r>
          </w:p>
        </w:tc>
      </w:tr>
      <w:tr w:rsidR="0046691A" w14:paraId="7A5B4981" w14:textId="77777777" w:rsidTr="00345119">
        <w:tc>
          <w:tcPr>
            <w:tcW w:w="9576" w:type="dxa"/>
          </w:tcPr>
          <w:p w14:paraId="385D9CF6" w14:textId="65A2A03C" w:rsidR="008423E4" w:rsidRPr="00861995" w:rsidRDefault="001A5387" w:rsidP="00C36FD9">
            <w:pPr>
              <w:jc w:val="right"/>
            </w:pPr>
            <w:r>
              <w:t xml:space="preserve">By: </w:t>
            </w:r>
            <w:r w:rsidR="002B1076">
              <w:t>Raney</w:t>
            </w:r>
          </w:p>
        </w:tc>
      </w:tr>
      <w:tr w:rsidR="0046691A" w14:paraId="2D06B211" w14:textId="77777777" w:rsidTr="00345119">
        <w:tc>
          <w:tcPr>
            <w:tcW w:w="9576" w:type="dxa"/>
          </w:tcPr>
          <w:p w14:paraId="1B1FC649" w14:textId="702E70C3" w:rsidR="008423E4" w:rsidRPr="00861995" w:rsidRDefault="001A5387" w:rsidP="00C36FD9">
            <w:pPr>
              <w:jc w:val="right"/>
            </w:pPr>
            <w:r>
              <w:t>Public Health</w:t>
            </w:r>
          </w:p>
        </w:tc>
      </w:tr>
      <w:tr w:rsidR="0046691A" w14:paraId="4FC07A4B" w14:textId="77777777" w:rsidTr="00345119">
        <w:tc>
          <w:tcPr>
            <w:tcW w:w="9576" w:type="dxa"/>
          </w:tcPr>
          <w:p w14:paraId="74E9FDF4" w14:textId="7D2D081D" w:rsidR="008423E4" w:rsidRDefault="001A5387" w:rsidP="00C36FD9">
            <w:pPr>
              <w:jc w:val="right"/>
            </w:pPr>
            <w:r>
              <w:t>Committee Report (Unamended)</w:t>
            </w:r>
          </w:p>
        </w:tc>
      </w:tr>
    </w:tbl>
    <w:p w14:paraId="26206471" w14:textId="77777777" w:rsidR="008423E4" w:rsidRDefault="008423E4" w:rsidP="00C36FD9">
      <w:pPr>
        <w:tabs>
          <w:tab w:val="right" w:pos="9360"/>
        </w:tabs>
      </w:pPr>
    </w:p>
    <w:p w14:paraId="43BA0AAF" w14:textId="77777777" w:rsidR="008423E4" w:rsidRDefault="008423E4" w:rsidP="00C36FD9"/>
    <w:p w14:paraId="5338A7ED" w14:textId="77777777" w:rsidR="008423E4" w:rsidRDefault="008423E4" w:rsidP="00C36FD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6691A" w14:paraId="5E3AB50D" w14:textId="77777777" w:rsidTr="00345119">
        <w:tc>
          <w:tcPr>
            <w:tcW w:w="9576" w:type="dxa"/>
          </w:tcPr>
          <w:p w14:paraId="3F8F0C75" w14:textId="77777777" w:rsidR="008423E4" w:rsidRPr="00A8133F" w:rsidRDefault="001A5387" w:rsidP="00C36FD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DDDCAC7" w14:textId="77777777" w:rsidR="008423E4" w:rsidRDefault="008423E4" w:rsidP="00C36FD9"/>
          <w:p w14:paraId="3E994387" w14:textId="4E5BF460" w:rsidR="002D6F8E" w:rsidRDefault="001A5387" w:rsidP="00C36FD9">
            <w:pPr>
              <w:pStyle w:val="Header"/>
              <w:jc w:val="both"/>
            </w:pPr>
            <w:r>
              <w:t xml:space="preserve">The COVID-19 pandemic has exacerbated many of the circumstances contributing to </w:t>
            </w:r>
            <w:r w:rsidR="00B65D49">
              <w:t xml:space="preserve">an </w:t>
            </w:r>
            <w:r>
              <w:t>increase in drug overdose deaths</w:t>
            </w:r>
            <w:r w:rsidR="00B65D49">
              <w:t xml:space="preserve">, with recent reports of an increase in such deaths </w:t>
            </w:r>
            <w:r>
              <w:t xml:space="preserve">of nearly 26 percent from July 2019 to July 2020. </w:t>
            </w:r>
            <w:r w:rsidR="007E2E64">
              <w:t>Similarly</w:t>
            </w:r>
            <w:r w:rsidR="00085D9B">
              <w:t>, first responder reports of overdose-related cardiac arrests were up</w:t>
            </w:r>
            <w:r w:rsidR="00B0730E">
              <w:t xml:space="preserve"> nearly 49 percent</w:t>
            </w:r>
            <w:r w:rsidR="007E2E64">
              <w:t xml:space="preserve"> as of August 2020</w:t>
            </w:r>
            <w:r w:rsidR="00F54356">
              <w:t xml:space="preserve">. </w:t>
            </w:r>
            <w:r w:rsidR="00B65D49">
              <w:t xml:space="preserve">These notable increases suggest that Texans may be dying from drug overdoses that </w:t>
            </w:r>
            <w:r>
              <w:t xml:space="preserve">may </w:t>
            </w:r>
            <w:r w:rsidR="00B65D49">
              <w:t>otherwise be prevented</w:t>
            </w:r>
            <w:r>
              <w:t>, particularly</w:t>
            </w:r>
            <w:r w:rsidR="00B65D49">
              <w:t xml:space="preserve"> </w:t>
            </w:r>
            <w:r>
              <w:t xml:space="preserve">with the </w:t>
            </w:r>
            <w:r w:rsidR="007E2E64">
              <w:t xml:space="preserve">immediate </w:t>
            </w:r>
            <w:r>
              <w:t>involvement of nearby bystanders. However, f</w:t>
            </w:r>
            <w:r w:rsidR="00B0730E">
              <w:t>ear of arrest is t</w:t>
            </w:r>
            <w:r w:rsidR="002B4D22">
              <w:t>he most-</w:t>
            </w:r>
            <w:r w:rsidR="00FB0E89">
              <w:t>cited reason emergency assistance is not sought</w:t>
            </w:r>
            <w:r>
              <w:t xml:space="preserve"> by bystanders</w:t>
            </w:r>
            <w:r w:rsidR="00B0730E">
              <w:t xml:space="preserve"> in these situations.</w:t>
            </w:r>
            <w:r w:rsidR="00FB0E89">
              <w:t xml:space="preserve"> The National</w:t>
            </w:r>
            <w:r w:rsidR="00F54356">
              <w:t xml:space="preserve"> </w:t>
            </w:r>
            <w:r w:rsidR="00FB0E89">
              <w:t xml:space="preserve">Library of Medicine </w:t>
            </w:r>
            <w:r w:rsidR="00F54356">
              <w:t xml:space="preserve">has estimated </w:t>
            </w:r>
            <w:r w:rsidR="00FB0E89">
              <w:t xml:space="preserve">that </w:t>
            </w:r>
            <w:r w:rsidR="002B4D22">
              <w:t>G</w:t>
            </w:r>
            <w:r w:rsidR="00FB0E89">
              <w:t xml:space="preserve">ood </w:t>
            </w:r>
            <w:r w:rsidR="00420C4E">
              <w:t>S</w:t>
            </w:r>
            <w:r w:rsidR="00FB0E89">
              <w:t>amaritan laws that protect 9</w:t>
            </w:r>
            <w:r w:rsidR="00B53E33">
              <w:t>-</w:t>
            </w:r>
            <w:r w:rsidR="00FB0E89">
              <w:t>1</w:t>
            </w:r>
            <w:r w:rsidR="00B53E33">
              <w:t>-</w:t>
            </w:r>
            <w:r w:rsidR="00FB0E89">
              <w:t>1 callers and overdose victims from</w:t>
            </w:r>
            <w:r w:rsidR="009A5EA3">
              <w:t xml:space="preserve"> </w:t>
            </w:r>
            <w:r w:rsidR="00FB0E89">
              <w:t xml:space="preserve">prosecution </w:t>
            </w:r>
            <w:r w:rsidR="001360B8">
              <w:t>have produced</w:t>
            </w:r>
            <w:r w:rsidR="00FB0E89">
              <w:t xml:space="preserve"> a decrease in drug overdose-related deaths by </w:t>
            </w:r>
            <w:r w:rsidR="00420C4E">
              <w:t>nearly</w:t>
            </w:r>
            <w:r w:rsidR="00FB0E89">
              <w:t xml:space="preserve"> 15</w:t>
            </w:r>
            <w:r w:rsidR="00B0730E">
              <w:t xml:space="preserve"> percent</w:t>
            </w:r>
            <w:r w:rsidR="00FB0E89">
              <w:t>.</w:t>
            </w:r>
            <w:r w:rsidR="001360B8">
              <w:t xml:space="preserve"> </w:t>
            </w:r>
          </w:p>
          <w:p w14:paraId="4A32D85F" w14:textId="77777777" w:rsidR="002D6F8E" w:rsidRDefault="002D6F8E" w:rsidP="00C36FD9">
            <w:pPr>
              <w:pStyle w:val="Header"/>
              <w:jc w:val="both"/>
            </w:pPr>
          </w:p>
          <w:p w14:paraId="4407E617" w14:textId="38BADB52" w:rsidR="009A5EA3" w:rsidRPr="00FB0E89" w:rsidRDefault="001A5387" w:rsidP="00C36FD9">
            <w:pPr>
              <w:pStyle w:val="Header"/>
              <w:jc w:val="both"/>
            </w:pPr>
            <w:r>
              <w:t>H.B</w:t>
            </w:r>
            <w:r w:rsidR="001360B8">
              <w:t>.</w:t>
            </w:r>
            <w:r>
              <w:t xml:space="preserve"> 1694 </w:t>
            </w:r>
            <w:r w:rsidR="001360B8">
              <w:t>seeks to address this issue by establishing</w:t>
            </w:r>
            <w:r>
              <w:t xml:space="preserve"> a</w:t>
            </w:r>
            <w:r w:rsidR="00B0730E">
              <w:t>s a</w:t>
            </w:r>
            <w:r>
              <w:t xml:space="preserve"> defense </w:t>
            </w:r>
            <w:r w:rsidR="001360B8">
              <w:t>to</w:t>
            </w:r>
            <w:r>
              <w:t xml:space="preserve"> prosecution for </w:t>
            </w:r>
            <w:r w:rsidR="00B0730E">
              <w:t>certain drug</w:t>
            </w:r>
            <w:r w:rsidR="002B4D22">
              <w:noBreakHyphen/>
            </w:r>
            <w:r w:rsidR="00B0730E">
              <w:t>related offenses</w:t>
            </w:r>
            <w:r>
              <w:t xml:space="preserve"> that the actor was the first person to request medical assistance for a possible overdose or was the victim of a possible overdose.</w:t>
            </w:r>
          </w:p>
          <w:p w14:paraId="0BC6A1D2" w14:textId="4AD05FC0" w:rsidR="00FB0E89" w:rsidRPr="00E26B13" w:rsidRDefault="00FB0E89" w:rsidP="00C36FD9">
            <w:pPr>
              <w:rPr>
                <w:b/>
              </w:rPr>
            </w:pPr>
          </w:p>
        </w:tc>
      </w:tr>
      <w:tr w:rsidR="0046691A" w14:paraId="0854FF1E" w14:textId="77777777" w:rsidTr="00345119">
        <w:tc>
          <w:tcPr>
            <w:tcW w:w="9576" w:type="dxa"/>
          </w:tcPr>
          <w:p w14:paraId="0D40A3AB" w14:textId="77777777" w:rsidR="0017725B" w:rsidRDefault="001A5387" w:rsidP="00C36FD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3D398D6" w14:textId="77777777" w:rsidR="0017725B" w:rsidRDefault="0017725B" w:rsidP="00C36FD9">
            <w:pPr>
              <w:rPr>
                <w:b/>
                <w:u w:val="single"/>
              </w:rPr>
            </w:pPr>
          </w:p>
          <w:p w14:paraId="679B08AE" w14:textId="10C930E1" w:rsidR="0084769E" w:rsidRPr="0084769E" w:rsidRDefault="001A5387" w:rsidP="00C36FD9">
            <w:pPr>
              <w:jc w:val="both"/>
            </w:pPr>
            <w:r>
              <w:t>It is the committe</w:t>
            </w:r>
            <w:r>
              <w:t>e's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41A8EB3B" w14:textId="77777777" w:rsidR="0017725B" w:rsidRPr="0017725B" w:rsidRDefault="0017725B" w:rsidP="00C36FD9">
            <w:pPr>
              <w:rPr>
                <w:b/>
                <w:u w:val="single"/>
              </w:rPr>
            </w:pPr>
          </w:p>
        </w:tc>
      </w:tr>
      <w:tr w:rsidR="0046691A" w14:paraId="1E29943D" w14:textId="77777777" w:rsidTr="00345119">
        <w:tc>
          <w:tcPr>
            <w:tcW w:w="9576" w:type="dxa"/>
          </w:tcPr>
          <w:p w14:paraId="3FCBDCB8" w14:textId="77777777" w:rsidR="008423E4" w:rsidRPr="00A8133F" w:rsidRDefault="001A5387" w:rsidP="00C36FD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ADF48E0" w14:textId="77777777" w:rsidR="008423E4" w:rsidRDefault="008423E4" w:rsidP="00C36FD9"/>
          <w:p w14:paraId="32FB7E89" w14:textId="77777777" w:rsidR="0084769E" w:rsidRDefault="001A5387" w:rsidP="00C36F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75321A58" w14:textId="77777777" w:rsidR="008423E4" w:rsidRPr="00E21FDC" w:rsidRDefault="008423E4" w:rsidP="00C36FD9">
            <w:pPr>
              <w:rPr>
                <w:b/>
              </w:rPr>
            </w:pPr>
          </w:p>
        </w:tc>
      </w:tr>
      <w:tr w:rsidR="0046691A" w14:paraId="58B13C70" w14:textId="77777777" w:rsidTr="00345119">
        <w:tc>
          <w:tcPr>
            <w:tcW w:w="9576" w:type="dxa"/>
          </w:tcPr>
          <w:p w14:paraId="3C289BC9" w14:textId="77777777" w:rsidR="008423E4" w:rsidRPr="00A8133F" w:rsidRDefault="001A5387" w:rsidP="00C36FD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CED4DA0" w14:textId="77777777" w:rsidR="008423E4" w:rsidRDefault="008423E4" w:rsidP="00C36FD9"/>
          <w:p w14:paraId="2A2803A3" w14:textId="2CE2A64E" w:rsidR="009C1FB2" w:rsidRDefault="001A5387" w:rsidP="00C36F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36DD1">
              <w:t xml:space="preserve">H.B. </w:t>
            </w:r>
            <w:r w:rsidR="00735992">
              <w:t>1694</w:t>
            </w:r>
            <w:r w:rsidRPr="00936DD1">
              <w:t xml:space="preserve"> amends the Health and Safety Code to </w:t>
            </w:r>
            <w:r>
              <w:t xml:space="preserve">establish </w:t>
            </w:r>
            <w:r>
              <w:t>as</w:t>
            </w:r>
            <w:r w:rsidRPr="00936DD1">
              <w:t xml:space="preserve"> a defense to prosecuti</w:t>
            </w:r>
            <w:r>
              <w:t xml:space="preserve">on for </w:t>
            </w:r>
            <w:r w:rsidRPr="00936DD1">
              <w:t xml:space="preserve">possession of </w:t>
            </w:r>
            <w:r w:rsidR="00244050">
              <w:t xml:space="preserve">certain amounts of </w:t>
            </w:r>
            <w:r w:rsidRPr="00936DD1">
              <w:t>a substance in Penalty Groups 1, 1-A, 2, 2-A, 3, and 4</w:t>
            </w:r>
            <w:r>
              <w:t xml:space="preserve"> of the Texas Controlled Substances Act</w:t>
            </w:r>
            <w:r w:rsidRPr="00936DD1">
              <w:t xml:space="preserve">; </w:t>
            </w:r>
            <w:r w:rsidR="00BE2460">
              <w:t xml:space="preserve">the manufacture, delivery, or </w:t>
            </w:r>
            <w:r w:rsidRPr="00936DD1">
              <w:t>possessi</w:t>
            </w:r>
            <w:r>
              <w:t>on</w:t>
            </w:r>
            <w:r w:rsidRPr="00936DD1">
              <w:t xml:space="preserve"> </w:t>
            </w:r>
            <w:r>
              <w:t xml:space="preserve">of </w:t>
            </w:r>
            <w:r w:rsidR="00921DB1">
              <w:t xml:space="preserve">a </w:t>
            </w:r>
            <w:r w:rsidRPr="00936DD1">
              <w:t>miscellaneous substance</w:t>
            </w:r>
            <w:r>
              <w:t xml:space="preserve"> under the act</w:t>
            </w:r>
            <w:r w:rsidRPr="00936DD1">
              <w:t>;</w:t>
            </w:r>
            <w:r w:rsidR="00BE2460">
              <w:t xml:space="preserve"> </w:t>
            </w:r>
            <w:r w:rsidRPr="00936DD1">
              <w:t>possession of marihuana</w:t>
            </w:r>
            <w:r w:rsidR="00921DB1">
              <w:t xml:space="preserve"> in certain amounts</w:t>
            </w:r>
            <w:r w:rsidRPr="00936DD1">
              <w:t>; possession</w:t>
            </w:r>
            <w:r w:rsidR="00BE2460">
              <w:t xml:space="preserve"> or delivery</w:t>
            </w:r>
            <w:r w:rsidRPr="00936DD1">
              <w:t xml:space="preserve"> of drug paraphernalia; possession of a dangerous drug; and possession and use of an abusable volatile chemical that the actor</w:t>
            </w:r>
            <w:r>
              <w:t>:</w:t>
            </w:r>
          </w:p>
          <w:p w14:paraId="4FF6E2B3" w14:textId="43DC8E4D" w:rsidR="009C1FB2" w:rsidRDefault="001A5387" w:rsidP="00C36FD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936DD1">
              <w:t>was the first person to request emergency medical assistance i</w:t>
            </w:r>
            <w:r w:rsidRPr="00936DD1">
              <w:t xml:space="preserve">n response to the possible overdose of another person and made the request during an ongoing medical emergency, remained on the scene until the </w:t>
            </w:r>
            <w:r w:rsidR="004822A8">
              <w:t xml:space="preserve">assistance arrived, and </w:t>
            </w:r>
            <w:r w:rsidRPr="00936DD1">
              <w:t>cooperated with medical assistance an</w:t>
            </w:r>
            <w:r w:rsidR="004822A8">
              <w:t>d law enforcement personnel</w:t>
            </w:r>
            <w:r>
              <w:t>;</w:t>
            </w:r>
            <w:r w:rsidR="004822A8">
              <w:t xml:space="preserve"> or</w:t>
            </w:r>
          </w:p>
          <w:p w14:paraId="36C7EAA3" w14:textId="7F4C0100" w:rsidR="008423E4" w:rsidRDefault="001A5387" w:rsidP="00C36FD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936DD1">
              <w:t>was the victim of a</w:t>
            </w:r>
            <w:r w:rsidRPr="00936DD1">
              <w:t xml:space="preserve"> possible overdose for which assistance was requested, by the actor or by another person, during an ongoing medical emergency.</w:t>
            </w:r>
          </w:p>
          <w:p w14:paraId="2E813E44" w14:textId="77777777" w:rsidR="00936DD1" w:rsidRDefault="00936DD1" w:rsidP="00C36F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DEB0951" w14:textId="5F3F21CC" w:rsidR="009C1FB2" w:rsidRDefault="001A5387" w:rsidP="00C36FD9">
            <w:pPr>
              <w:pStyle w:val="Header"/>
              <w:jc w:val="both"/>
            </w:pPr>
            <w:r>
              <w:t xml:space="preserve">H.B. </w:t>
            </w:r>
            <w:r w:rsidR="00735992">
              <w:t>1694</w:t>
            </w:r>
            <w:r>
              <w:t xml:space="preserve"> establishes that such a defense to prosecution is not available if:</w:t>
            </w:r>
          </w:p>
          <w:p w14:paraId="139E3685" w14:textId="5CA1E15D" w:rsidR="00687264" w:rsidRDefault="001A5387" w:rsidP="00C36FD9">
            <w:pPr>
              <w:pStyle w:val="Header"/>
              <w:numPr>
                <w:ilvl w:val="0"/>
                <w:numId w:val="2"/>
              </w:numPr>
              <w:jc w:val="both"/>
            </w:pPr>
            <w:r>
              <w:t>at the time the request for emergency medical assi</w:t>
            </w:r>
            <w:r w:rsidR="002E6363">
              <w:t xml:space="preserve">stance was made </w:t>
            </w:r>
            <w:r>
              <w:t>a peace officer was in the process of arresting the actor or executing a search warrant describing the actor or the place from which the request was made or the actor</w:t>
            </w:r>
            <w:r w:rsidR="002E6363">
              <w:t xml:space="preserve"> </w:t>
            </w:r>
            <w:r w:rsidR="00E66AA7">
              <w:t xml:space="preserve">is </w:t>
            </w:r>
            <w:r w:rsidR="002E6363">
              <w:t>committing another offense</w:t>
            </w:r>
            <w:r w:rsidR="00454DC4">
              <w:t xml:space="preserve"> </w:t>
            </w:r>
            <w:r>
              <w:t xml:space="preserve">other than </w:t>
            </w:r>
            <w:r w:rsidR="00CB4758">
              <w:t xml:space="preserve">an </w:t>
            </w:r>
            <w:r>
              <w:t xml:space="preserve">offense </w:t>
            </w:r>
            <w:r w:rsidR="00454DC4">
              <w:t xml:space="preserve">punishable in a certain manner </w:t>
            </w:r>
            <w:r w:rsidR="00921DB1">
              <w:t xml:space="preserve">to </w:t>
            </w:r>
            <w:r>
              <w:t xml:space="preserve">which </w:t>
            </w:r>
            <w:r w:rsidR="00CB4758">
              <w:t>a defense to prosecution under the bill's provisions applies</w:t>
            </w:r>
            <w:r>
              <w:t>;</w:t>
            </w:r>
          </w:p>
          <w:p w14:paraId="027CFDC5" w14:textId="73E44EF4" w:rsidR="00687264" w:rsidRDefault="001A5387" w:rsidP="00C36FD9">
            <w:pPr>
              <w:pStyle w:val="Header"/>
              <w:numPr>
                <w:ilvl w:val="0"/>
                <w:numId w:val="2"/>
              </w:numPr>
              <w:jc w:val="both"/>
            </w:pPr>
            <w:r>
              <w:t>the actor has been previously convicted of or placed on deferred adjudication community supervision for an offense under the Texas Controlled Substance</w:t>
            </w:r>
            <w:r w:rsidR="00D0594C">
              <w:t>s</w:t>
            </w:r>
            <w:r>
              <w:t xml:space="preserve"> Act, Texas Dangerous D</w:t>
            </w:r>
            <w:r>
              <w:t>rug Act, or statutory provisions relating to abusable volatile chemicals; or</w:t>
            </w:r>
          </w:p>
          <w:p w14:paraId="2F3E8262" w14:textId="2500D1D5" w:rsidR="00936DD1" w:rsidRDefault="001A5387" w:rsidP="00C36FD9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the actor was acquitted in a previous proceeding in which the actor successfully established </w:t>
            </w:r>
            <w:r w:rsidR="00CB4758">
              <w:t xml:space="preserve">a defense to prosecution </w:t>
            </w:r>
            <w:r>
              <w:t>under the bill's provisions.</w:t>
            </w:r>
          </w:p>
          <w:p w14:paraId="0C1CAE9D" w14:textId="77777777" w:rsidR="00936DD1" w:rsidRDefault="00936DD1" w:rsidP="00C36FD9">
            <w:pPr>
              <w:pStyle w:val="Header"/>
              <w:jc w:val="both"/>
            </w:pPr>
          </w:p>
          <w:p w14:paraId="43637BAD" w14:textId="706D90F0" w:rsidR="00936DD1" w:rsidRDefault="001A5387" w:rsidP="00C36FD9">
            <w:pPr>
              <w:pStyle w:val="Header"/>
              <w:jc w:val="both"/>
            </w:pPr>
            <w:r w:rsidRPr="00936DD1">
              <w:t xml:space="preserve">H.B. </w:t>
            </w:r>
            <w:r w:rsidR="00735992">
              <w:t>1694</w:t>
            </w:r>
            <w:r w:rsidRPr="00936DD1">
              <w:t xml:space="preserve"> </w:t>
            </w:r>
            <w:r w:rsidR="00687264">
              <w:t>establishes</w:t>
            </w:r>
            <w:r w:rsidR="00687264" w:rsidRPr="00936DD1">
              <w:t xml:space="preserve"> </w:t>
            </w:r>
            <w:r w:rsidRPr="00936DD1">
              <w:t>that such</w:t>
            </w:r>
            <w:r w:rsidRPr="00936DD1">
              <w:t xml:space="preserve"> a defense</w:t>
            </w:r>
            <w:r w:rsidR="00CB4758">
              <w:t xml:space="preserve"> to prosecution</w:t>
            </w:r>
            <w:r>
              <w:t xml:space="preserve"> </w:t>
            </w:r>
            <w:r w:rsidRPr="00936DD1">
              <w:t xml:space="preserve">does not preclude the admission of evidence obtained by law enforcement resulting from </w:t>
            </w:r>
            <w:r w:rsidR="00687264">
              <w:t>the</w:t>
            </w:r>
            <w:r w:rsidRPr="00936DD1">
              <w:t xml:space="preserve"> request</w:t>
            </w:r>
            <w:r w:rsidR="00687264">
              <w:t xml:space="preserve"> for emergency medical assistance</w:t>
            </w:r>
            <w:r w:rsidRPr="00936DD1">
              <w:t xml:space="preserve"> if that evidence pertains to an offense for which the defense is not available.</w:t>
            </w:r>
            <w:r w:rsidR="0084769E">
              <w:t xml:space="preserve"> </w:t>
            </w:r>
          </w:p>
          <w:p w14:paraId="5A8C6FFE" w14:textId="77777777" w:rsidR="008423E4" w:rsidRPr="00835628" w:rsidRDefault="008423E4" w:rsidP="00C36FD9">
            <w:pPr>
              <w:rPr>
                <w:b/>
              </w:rPr>
            </w:pPr>
          </w:p>
        </w:tc>
      </w:tr>
      <w:tr w:rsidR="0046691A" w14:paraId="7D707AB1" w14:textId="77777777" w:rsidTr="00345119">
        <w:tc>
          <w:tcPr>
            <w:tcW w:w="9576" w:type="dxa"/>
          </w:tcPr>
          <w:p w14:paraId="22687460" w14:textId="77777777" w:rsidR="008423E4" w:rsidRPr="00A8133F" w:rsidRDefault="001A5387" w:rsidP="00C36FD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C4538A1" w14:textId="77777777" w:rsidR="008423E4" w:rsidRDefault="008423E4" w:rsidP="00C36FD9"/>
          <w:p w14:paraId="269A4358" w14:textId="7ECFAEB1" w:rsidR="008423E4" w:rsidRPr="003624F2" w:rsidRDefault="001A5387" w:rsidP="00C36F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</w:t>
            </w:r>
            <w:r w:rsidR="0084769E">
              <w:t xml:space="preserve">. </w:t>
            </w:r>
          </w:p>
          <w:p w14:paraId="07164C0E" w14:textId="77777777" w:rsidR="008423E4" w:rsidRPr="00233FDB" w:rsidRDefault="008423E4" w:rsidP="00C36FD9">
            <w:pPr>
              <w:rPr>
                <w:b/>
              </w:rPr>
            </w:pPr>
          </w:p>
        </w:tc>
      </w:tr>
    </w:tbl>
    <w:p w14:paraId="5F1FCEB0" w14:textId="77777777" w:rsidR="008423E4" w:rsidRPr="00BE0E75" w:rsidRDefault="008423E4" w:rsidP="00C36FD9">
      <w:pPr>
        <w:jc w:val="both"/>
        <w:rPr>
          <w:rFonts w:ascii="Arial" w:hAnsi="Arial"/>
          <w:sz w:val="16"/>
          <w:szCs w:val="16"/>
        </w:rPr>
      </w:pPr>
    </w:p>
    <w:p w14:paraId="62490F7A" w14:textId="77777777" w:rsidR="004108C3" w:rsidRPr="008423E4" w:rsidRDefault="004108C3" w:rsidP="00C36FD9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1B914" w14:textId="77777777" w:rsidR="00000000" w:rsidRDefault="001A5387">
      <w:r>
        <w:separator/>
      </w:r>
    </w:p>
  </w:endnote>
  <w:endnote w:type="continuationSeparator" w:id="0">
    <w:p w14:paraId="65FA8113" w14:textId="77777777" w:rsidR="00000000" w:rsidRDefault="001A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AAF0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6691A" w14:paraId="30711D13" w14:textId="77777777" w:rsidTr="009C1E9A">
      <w:trPr>
        <w:cantSplit/>
      </w:trPr>
      <w:tc>
        <w:tcPr>
          <w:tcW w:w="0" w:type="pct"/>
        </w:tcPr>
        <w:p w14:paraId="5F4B204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022863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7846CF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E55DA7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EA9BAD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6691A" w14:paraId="726A1505" w14:textId="77777777" w:rsidTr="009C1E9A">
      <w:trPr>
        <w:cantSplit/>
      </w:trPr>
      <w:tc>
        <w:tcPr>
          <w:tcW w:w="0" w:type="pct"/>
        </w:tcPr>
        <w:p w14:paraId="7E75355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18D64AF" w14:textId="2F96408E" w:rsidR="00EC379B" w:rsidRPr="009C1E9A" w:rsidRDefault="001A538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18247</w:t>
          </w:r>
        </w:p>
      </w:tc>
      <w:tc>
        <w:tcPr>
          <w:tcW w:w="2453" w:type="pct"/>
        </w:tcPr>
        <w:p w14:paraId="585C926C" w14:textId="3A5F25F7" w:rsidR="00EC379B" w:rsidRDefault="001A538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F1CC5">
            <w:t>21.93.123</w:t>
          </w:r>
          <w:r>
            <w:fldChar w:fldCharType="end"/>
          </w:r>
        </w:p>
      </w:tc>
    </w:tr>
    <w:tr w:rsidR="0046691A" w14:paraId="53DE5D29" w14:textId="77777777" w:rsidTr="009C1E9A">
      <w:trPr>
        <w:cantSplit/>
      </w:trPr>
      <w:tc>
        <w:tcPr>
          <w:tcW w:w="0" w:type="pct"/>
        </w:tcPr>
        <w:p w14:paraId="6AB54E36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8864EF3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38F983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6D065C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6691A" w14:paraId="4AE3221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4A8D91F" w14:textId="7D30A4EB" w:rsidR="00EC379B" w:rsidRDefault="001A538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36FD9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2C9E2AF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6A0B15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049F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BFC2D" w14:textId="77777777" w:rsidR="00000000" w:rsidRDefault="001A5387">
      <w:r>
        <w:separator/>
      </w:r>
    </w:p>
  </w:footnote>
  <w:footnote w:type="continuationSeparator" w:id="0">
    <w:p w14:paraId="71BA10F1" w14:textId="77777777" w:rsidR="00000000" w:rsidRDefault="001A5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2D0E0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AAF8A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F9059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44AC2"/>
    <w:multiLevelType w:val="hybridMultilevel"/>
    <w:tmpl w:val="76785FC2"/>
    <w:lvl w:ilvl="0" w:tplc="BCB2A27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B3A8AADC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6B6A2E8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6AD6000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8D06B99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5664D57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2711A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F4410EA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93A5C3C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3E2130"/>
    <w:multiLevelType w:val="hybridMultilevel"/>
    <w:tmpl w:val="B756FC02"/>
    <w:lvl w:ilvl="0" w:tplc="967E008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936785A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A32A070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E78CA28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6EA40EF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B13849E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5E21E38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AE14B036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A6766F42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D1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4A81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5102"/>
    <w:rsid w:val="00076D7D"/>
    <w:rsid w:val="00080D95"/>
    <w:rsid w:val="00085D9B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60B8"/>
    <w:rsid w:val="00137D90"/>
    <w:rsid w:val="00141FB6"/>
    <w:rsid w:val="00142F8E"/>
    <w:rsid w:val="00143C8B"/>
    <w:rsid w:val="00143CFC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5387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1CC5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4050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2166"/>
    <w:rsid w:val="002A48DF"/>
    <w:rsid w:val="002A5A84"/>
    <w:rsid w:val="002A6E6F"/>
    <w:rsid w:val="002A74E4"/>
    <w:rsid w:val="002A7CFE"/>
    <w:rsid w:val="002B1076"/>
    <w:rsid w:val="002B26DD"/>
    <w:rsid w:val="002B2870"/>
    <w:rsid w:val="002B391B"/>
    <w:rsid w:val="002B4D22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6F8E"/>
    <w:rsid w:val="002E21B8"/>
    <w:rsid w:val="002E6363"/>
    <w:rsid w:val="002E762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0E55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0C4E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DC4"/>
    <w:rsid w:val="00455936"/>
    <w:rsid w:val="00455ACE"/>
    <w:rsid w:val="00461B69"/>
    <w:rsid w:val="00462B3D"/>
    <w:rsid w:val="0046691A"/>
    <w:rsid w:val="00474927"/>
    <w:rsid w:val="00475913"/>
    <w:rsid w:val="00480080"/>
    <w:rsid w:val="004822A8"/>
    <w:rsid w:val="004824A7"/>
    <w:rsid w:val="00483AF0"/>
    <w:rsid w:val="00484167"/>
    <w:rsid w:val="00492211"/>
    <w:rsid w:val="00492325"/>
    <w:rsid w:val="00492A6D"/>
    <w:rsid w:val="00494303"/>
    <w:rsid w:val="0049682B"/>
    <w:rsid w:val="00496992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1475"/>
    <w:rsid w:val="0051324D"/>
    <w:rsid w:val="00515466"/>
    <w:rsid w:val="005154F7"/>
    <w:rsid w:val="005159DE"/>
    <w:rsid w:val="00515E6F"/>
    <w:rsid w:val="005269CE"/>
    <w:rsid w:val="00526D82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2CA8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B6E85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264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4939"/>
    <w:rsid w:val="006E5692"/>
    <w:rsid w:val="006F365D"/>
    <w:rsid w:val="006F4BB0"/>
    <w:rsid w:val="007031BD"/>
    <w:rsid w:val="00703E80"/>
    <w:rsid w:val="00705276"/>
    <w:rsid w:val="007066A0"/>
    <w:rsid w:val="0070736E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992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612F"/>
    <w:rsid w:val="00746204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2E64"/>
    <w:rsid w:val="007E33B6"/>
    <w:rsid w:val="007E59E8"/>
    <w:rsid w:val="007E5A1E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769E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B7D59"/>
    <w:rsid w:val="008C0809"/>
    <w:rsid w:val="008C132C"/>
    <w:rsid w:val="008C3FD0"/>
    <w:rsid w:val="008D27A5"/>
    <w:rsid w:val="008D2AAB"/>
    <w:rsid w:val="008D309C"/>
    <w:rsid w:val="008D58F9"/>
    <w:rsid w:val="008E211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1DB1"/>
    <w:rsid w:val="00924EA9"/>
    <w:rsid w:val="00925CE1"/>
    <w:rsid w:val="00925F5C"/>
    <w:rsid w:val="009260FD"/>
    <w:rsid w:val="00930897"/>
    <w:rsid w:val="009320D2"/>
    <w:rsid w:val="00932C77"/>
    <w:rsid w:val="0093417F"/>
    <w:rsid w:val="00934AC2"/>
    <w:rsid w:val="00936DD1"/>
    <w:rsid w:val="009375BB"/>
    <w:rsid w:val="009418E9"/>
    <w:rsid w:val="00946044"/>
    <w:rsid w:val="009465AB"/>
    <w:rsid w:val="00946DEE"/>
    <w:rsid w:val="00953499"/>
    <w:rsid w:val="00954A16"/>
    <w:rsid w:val="0095696D"/>
    <w:rsid w:val="00956C1D"/>
    <w:rsid w:val="00956E74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3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1FB2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3C39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786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0B24"/>
    <w:rsid w:val="00B04E79"/>
    <w:rsid w:val="00B0730E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3E33"/>
    <w:rsid w:val="00B564BF"/>
    <w:rsid w:val="00B6104E"/>
    <w:rsid w:val="00B610C7"/>
    <w:rsid w:val="00B62106"/>
    <w:rsid w:val="00B626A8"/>
    <w:rsid w:val="00B65695"/>
    <w:rsid w:val="00B65D49"/>
    <w:rsid w:val="00B66526"/>
    <w:rsid w:val="00B665A3"/>
    <w:rsid w:val="00B73BB4"/>
    <w:rsid w:val="00B75B81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D61CE"/>
    <w:rsid w:val="00BE0E75"/>
    <w:rsid w:val="00BE1789"/>
    <w:rsid w:val="00BE2460"/>
    <w:rsid w:val="00BE3634"/>
    <w:rsid w:val="00BE3E30"/>
    <w:rsid w:val="00BE43A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6FD9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758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594C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D0022"/>
    <w:rsid w:val="00DD073C"/>
    <w:rsid w:val="00DD128C"/>
    <w:rsid w:val="00DD1B30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6AA7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4E5B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037E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4356"/>
    <w:rsid w:val="00F550CA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0E89"/>
    <w:rsid w:val="00FB16CD"/>
    <w:rsid w:val="00FB73AE"/>
    <w:rsid w:val="00FC5388"/>
    <w:rsid w:val="00FC6207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3B612F-9EB7-410C-A28C-C2EE27D6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476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76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769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7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769E"/>
    <w:rPr>
      <w:b/>
      <w:bCs/>
    </w:rPr>
  </w:style>
  <w:style w:type="paragraph" w:styleId="Revision">
    <w:name w:val="Revision"/>
    <w:hidden/>
    <w:uiPriority w:val="99"/>
    <w:semiHidden/>
    <w:rsid w:val="002B4D22"/>
    <w:rPr>
      <w:sz w:val="24"/>
      <w:szCs w:val="24"/>
    </w:rPr>
  </w:style>
  <w:style w:type="character" w:styleId="Hyperlink">
    <w:name w:val="Hyperlink"/>
    <w:basedOn w:val="DefaultParagraphFont"/>
    <w:unhideWhenUsed/>
    <w:rsid w:val="00B53E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3206</Characters>
  <Application>Microsoft Office Word</Application>
  <DocSecurity>4</DocSecurity>
  <Lines>74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HB01694 (Committee Report (Unamended))</vt:lpstr>
    </vt:vector>
  </TitlesOfParts>
  <Company>State of Texas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18247</dc:subject>
  <dc:creator>State of Texas</dc:creator>
  <dc:description>HB 1694 by Raney-(H)Public Health</dc:description>
  <cp:lastModifiedBy>Lauren Bustamente</cp:lastModifiedBy>
  <cp:revision>2</cp:revision>
  <cp:lastPrinted>2003-11-26T17:21:00Z</cp:lastPrinted>
  <dcterms:created xsi:type="dcterms:W3CDTF">2021-04-08T20:36:00Z</dcterms:created>
  <dcterms:modified xsi:type="dcterms:W3CDTF">2021-04-08T20:36:00Z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21.93.123</vt:lpwstr>
  </property>
</Properties>
</file>