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7193" w14:paraId="259E004D" w14:textId="77777777" w:rsidTr="00345119">
        <w:tc>
          <w:tcPr>
            <w:tcW w:w="9576" w:type="dxa"/>
            <w:noWrap/>
          </w:tcPr>
          <w:p w14:paraId="5C46DD20" w14:textId="77777777" w:rsidR="008423E4" w:rsidRPr="0022177D" w:rsidRDefault="00B135D7" w:rsidP="00771B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7E3E20" w14:textId="77777777" w:rsidR="008423E4" w:rsidRPr="0022177D" w:rsidRDefault="008423E4" w:rsidP="00771B8D">
      <w:pPr>
        <w:jc w:val="center"/>
      </w:pPr>
    </w:p>
    <w:p w14:paraId="3B221549" w14:textId="77777777" w:rsidR="008423E4" w:rsidRPr="00B31F0E" w:rsidRDefault="008423E4" w:rsidP="00771B8D"/>
    <w:p w14:paraId="25976C2F" w14:textId="77777777" w:rsidR="008423E4" w:rsidRPr="00742794" w:rsidRDefault="008423E4" w:rsidP="00771B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7193" w14:paraId="46A550E8" w14:textId="77777777" w:rsidTr="00345119">
        <w:tc>
          <w:tcPr>
            <w:tcW w:w="9576" w:type="dxa"/>
          </w:tcPr>
          <w:p w14:paraId="3D1E18AC" w14:textId="58310D59" w:rsidR="008423E4" w:rsidRPr="00861995" w:rsidRDefault="00B135D7" w:rsidP="00771B8D">
            <w:pPr>
              <w:jc w:val="right"/>
            </w:pPr>
            <w:r>
              <w:t>H.B. 1743</w:t>
            </w:r>
          </w:p>
        </w:tc>
      </w:tr>
      <w:tr w:rsidR="001F7193" w14:paraId="3F8E39DE" w14:textId="77777777" w:rsidTr="00345119">
        <w:tc>
          <w:tcPr>
            <w:tcW w:w="9576" w:type="dxa"/>
          </w:tcPr>
          <w:p w14:paraId="4F1DA6A0" w14:textId="34C31156" w:rsidR="008423E4" w:rsidRPr="00861995" w:rsidRDefault="00B135D7" w:rsidP="00771B8D">
            <w:pPr>
              <w:jc w:val="right"/>
            </w:pPr>
            <w:r>
              <w:t xml:space="preserve">By: </w:t>
            </w:r>
            <w:r w:rsidR="008F58DA">
              <w:t>Guerra</w:t>
            </w:r>
          </w:p>
        </w:tc>
      </w:tr>
      <w:tr w:rsidR="001F7193" w14:paraId="3F8785EE" w14:textId="77777777" w:rsidTr="00345119">
        <w:tc>
          <w:tcPr>
            <w:tcW w:w="9576" w:type="dxa"/>
          </w:tcPr>
          <w:p w14:paraId="4E4EC926" w14:textId="7AAAEAB7" w:rsidR="008423E4" w:rsidRPr="00861995" w:rsidRDefault="00B135D7" w:rsidP="00771B8D">
            <w:pPr>
              <w:jc w:val="right"/>
            </w:pPr>
            <w:r>
              <w:t>State Affairs</w:t>
            </w:r>
          </w:p>
        </w:tc>
      </w:tr>
      <w:tr w:rsidR="001F7193" w14:paraId="57D4C90F" w14:textId="77777777" w:rsidTr="00345119">
        <w:tc>
          <w:tcPr>
            <w:tcW w:w="9576" w:type="dxa"/>
          </w:tcPr>
          <w:p w14:paraId="4D29CE1B" w14:textId="2E538685" w:rsidR="008423E4" w:rsidRDefault="00B135D7" w:rsidP="00771B8D">
            <w:pPr>
              <w:jc w:val="right"/>
            </w:pPr>
            <w:r>
              <w:t>Committee Report (Unamended)</w:t>
            </w:r>
          </w:p>
        </w:tc>
      </w:tr>
    </w:tbl>
    <w:p w14:paraId="193229D4" w14:textId="77777777" w:rsidR="008423E4" w:rsidRDefault="008423E4" w:rsidP="00771B8D">
      <w:pPr>
        <w:tabs>
          <w:tab w:val="right" w:pos="9360"/>
        </w:tabs>
      </w:pPr>
    </w:p>
    <w:p w14:paraId="347B7AA4" w14:textId="77777777" w:rsidR="008423E4" w:rsidRDefault="008423E4" w:rsidP="00771B8D"/>
    <w:p w14:paraId="001CAA24" w14:textId="77777777" w:rsidR="008423E4" w:rsidRDefault="008423E4" w:rsidP="00771B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7193" w14:paraId="3DA2F0B7" w14:textId="77777777" w:rsidTr="00345119">
        <w:tc>
          <w:tcPr>
            <w:tcW w:w="9576" w:type="dxa"/>
          </w:tcPr>
          <w:p w14:paraId="66B7E245" w14:textId="77777777" w:rsidR="008423E4" w:rsidRPr="00A8133F" w:rsidRDefault="00B135D7" w:rsidP="00771B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705DF1" w14:textId="77777777" w:rsidR="008423E4" w:rsidRDefault="008423E4" w:rsidP="00771B8D"/>
          <w:p w14:paraId="6CD0A57D" w14:textId="2BC49D79" w:rsidR="008423E4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11C6E">
              <w:t>Vertafore, a software company under contract with the Department of Public Safety, exposed personal information of 27.7</w:t>
            </w:r>
            <w:r w:rsidRPr="00B11C6E">
              <w:t xml:space="preserve"> million Texans through a data breach in March of 2020. The data exposed included driver's license numbers, addresses, dates of birth, and vehicle registration history. The breach occurred after three</w:t>
            </w:r>
            <w:r w:rsidR="00FD63D4">
              <w:t xml:space="preserve"> data</w:t>
            </w:r>
            <w:r w:rsidRPr="00B11C6E">
              <w:t xml:space="preserve"> files were </w:t>
            </w:r>
            <w:r w:rsidR="00FD63D4">
              <w:t>stored</w:t>
            </w:r>
            <w:r w:rsidR="00FD63D4" w:rsidRPr="00B11C6E">
              <w:t xml:space="preserve"> </w:t>
            </w:r>
            <w:r w:rsidRPr="00B11C6E">
              <w:t>in an unsecured external storage</w:t>
            </w:r>
            <w:r w:rsidRPr="00B11C6E">
              <w:t xml:space="preserve"> device. </w:t>
            </w:r>
            <w:r>
              <w:t>Texans must be able to trust their state agencies to protect their data</w:t>
            </w:r>
            <w:r w:rsidR="00F53DA3">
              <w:t>,</w:t>
            </w:r>
            <w:r>
              <w:t xml:space="preserve"> and that trust must extend to contractors that work with </w:t>
            </w:r>
            <w:r w:rsidR="00305BE6">
              <w:t xml:space="preserve">the </w:t>
            </w:r>
            <w:r>
              <w:t xml:space="preserve">state. </w:t>
            </w:r>
            <w:r w:rsidR="00305BE6">
              <w:t>H.B. 1743 seeks to ensure this public trust by</w:t>
            </w:r>
            <w:r>
              <w:t xml:space="preserve"> </w:t>
            </w:r>
            <w:r w:rsidR="00613DCA">
              <w:t>establishing standards for contractors purchasing</w:t>
            </w:r>
            <w:r w:rsidR="00305BE6">
              <w:t xml:space="preserve"> state agency data that includes sensitive personal or confidential information or information </w:t>
            </w:r>
            <w:r w:rsidR="00FD63D4">
              <w:t>whose</w:t>
            </w:r>
            <w:r w:rsidR="00305BE6">
              <w:t xml:space="preserve"> disclosure is otherwise regulated by law</w:t>
            </w:r>
            <w:r w:rsidR="00613DCA">
              <w:t xml:space="preserve"> and providing penalties for contractors that violate those standards, including temporary debarment from state contracting</w:t>
            </w:r>
            <w:r w:rsidR="0057494D">
              <w:t>.</w:t>
            </w:r>
          </w:p>
          <w:p w14:paraId="1B699C6E" w14:textId="77777777" w:rsidR="008423E4" w:rsidRPr="00E26B13" w:rsidRDefault="008423E4" w:rsidP="00771B8D">
            <w:pPr>
              <w:rPr>
                <w:b/>
              </w:rPr>
            </w:pPr>
          </w:p>
        </w:tc>
      </w:tr>
      <w:tr w:rsidR="001F7193" w14:paraId="6DD9951E" w14:textId="77777777" w:rsidTr="00345119">
        <w:tc>
          <w:tcPr>
            <w:tcW w:w="9576" w:type="dxa"/>
          </w:tcPr>
          <w:p w14:paraId="2EF984A2" w14:textId="77777777" w:rsidR="0017725B" w:rsidRDefault="00B135D7" w:rsidP="00771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6200C3" w14:textId="77777777" w:rsidR="0017725B" w:rsidRDefault="0017725B" w:rsidP="00771B8D">
            <w:pPr>
              <w:rPr>
                <w:b/>
                <w:u w:val="single"/>
              </w:rPr>
            </w:pPr>
          </w:p>
          <w:p w14:paraId="0BC3FE60" w14:textId="77777777" w:rsidR="007F13CA" w:rsidRPr="007F13CA" w:rsidRDefault="00B135D7" w:rsidP="00771B8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14:paraId="790271ED" w14:textId="77777777" w:rsidR="0017725B" w:rsidRPr="0017725B" w:rsidRDefault="0017725B" w:rsidP="00771B8D">
            <w:pPr>
              <w:rPr>
                <w:b/>
                <w:u w:val="single"/>
              </w:rPr>
            </w:pPr>
          </w:p>
        </w:tc>
      </w:tr>
      <w:tr w:rsidR="001F7193" w14:paraId="22BF5876" w14:textId="77777777" w:rsidTr="00345119">
        <w:tc>
          <w:tcPr>
            <w:tcW w:w="9576" w:type="dxa"/>
          </w:tcPr>
          <w:p w14:paraId="4F3AA233" w14:textId="77777777" w:rsidR="008423E4" w:rsidRPr="00A8133F" w:rsidRDefault="00B135D7" w:rsidP="00771B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6D5393" w14:textId="77777777" w:rsidR="008423E4" w:rsidRDefault="008423E4" w:rsidP="00771B8D"/>
          <w:p w14:paraId="582BE819" w14:textId="77777777" w:rsidR="007F13CA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773DBAE" w14:textId="77777777" w:rsidR="008423E4" w:rsidRPr="00E21FDC" w:rsidRDefault="008423E4" w:rsidP="00771B8D">
            <w:pPr>
              <w:rPr>
                <w:b/>
              </w:rPr>
            </w:pPr>
          </w:p>
        </w:tc>
      </w:tr>
      <w:tr w:rsidR="001F7193" w14:paraId="67DE9A9F" w14:textId="77777777" w:rsidTr="00345119">
        <w:tc>
          <w:tcPr>
            <w:tcW w:w="9576" w:type="dxa"/>
          </w:tcPr>
          <w:p w14:paraId="21B16DD4" w14:textId="77777777" w:rsidR="008423E4" w:rsidRPr="00A8133F" w:rsidRDefault="00B135D7" w:rsidP="00771B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CF1204" w14:textId="77777777" w:rsidR="008423E4" w:rsidRDefault="008423E4" w:rsidP="00771B8D"/>
          <w:p w14:paraId="58F2FF8A" w14:textId="79F9940D" w:rsidR="00C413F2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1743 amends the Government Code to </w:t>
            </w:r>
            <w:r w:rsidR="00FA6AE1">
              <w:t>restrict</w:t>
            </w:r>
            <w:r>
              <w:t xml:space="preserve"> the sale of computer</w:t>
            </w:r>
            <w:r w:rsidR="00FA6AE1">
              <w:t>ized</w:t>
            </w:r>
            <w:r>
              <w:t xml:space="preserve"> data own</w:t>
            </w:r>
            <w:r w:rsidR="00212A4C">
              <w:t>ed</w:t>
            </w:r>
            <w:r>
              <w:t>, license</w:t>
            </w:r>
            <w:r w:rsidR="00212A4C">
              <w:t>d</w:t>
            </w:r>
            <w:r>
              <w:t>, or maintain</w:t>
            </w:r>
            <w:r w:rsidR="00212A4C">
              <w:t>ed by an applicable state agency</w:t>
            </w:r>
            <w:r w:rsidR="0082305A">
              <w:t xml:space="preserve"> to a contractor</w:t>
            </w:r>
            <w:r>
              <w:t xml:space="preserve"> </w:t>
            </w:r>
            <w:r w:rsidR="00335DB6">
              <w:t xml:space="preserve">if </w:t>
            </w:r>
            <w:r w:rsidR="0082305A">
              <w:t>the</w:t>
            </w:r>
            <w:r w:rsidR="00335DB6">
              <w:t xml:space="preserve"> data</w:t>
            </w:r>
            <w:r>
              <w:t xml:space="preserve"> includes </w:t>
            </w:r>
            <w:r w:rsidR="009C0797">
              <w:t xml:space="preserve">certain </w:t>
            </w:r>
            <w:r w:rsidR="00FA6AE1">
              <w:t xml:space="preserve">sensitive </w:t>
            </w:r>
            <w:r w:rsidR="009C0797">
              <w:t xml:space="preserve">personal or </w:t>
            </w:r>
            <w:r>
              <w:t>confidential information</w:t>
            </w:r>
            <w:r w:rsidR="00FA6AE1">
              <w:t xml:space="preserve"> or information </w:t>
            </w:r>
            <w:r w:rsidR="00FD63D4">
              <w:t xml:space="preserve">whose </w:t>
            </w:r>
            <w:r w:rsidR="00FA6AE1">
              <w:t>disclosure is otherwise regulated by law</w:t>
            </w:r>
            <w:r>
              <w:t>. Th</w:t>
            </w:r>
            <w:r w:rsidR="00335DB6">
              <w:t>e</w:t>
            </w:r>
            <w:r>
              <w:t xml:space="preserve"> </w:t>
            </w:r>
            <w:r w:rsidRPr="00C413F2">
              <w:t xml:space="preserve">sale </w:t>
            </w:r>
            <w:r w:rsidR="00335DB6">
              <w:t xml:space="preserve">of </w:t>
            </w:r>
            <w:r w:rsidR="00212A4C">
              <w:t xml:space="preserve">any </w:t>
            </w:r>
            <w:r w:rsidR="00335DB6">
              <w:t xml:space="preserve">such data </w:t>
            </w:r>
            <w:r w:rsidR="004A4DFE">
              <w:t>must be</w:t>
            </w:r>
            <w:r w:rsidRPr="00C413F2">
              <w:t xml:space="preserve"> authorized under law and the sale contract </w:t>
            </w:r>
            <w:r w:rsidR="004A4DFE">
              <w:t xml:space="preserve">must </w:t>
            </w:r>
            <w:r w:rsidRPr="00C413F2">
              <w:t>include a statement that the contractor</w:t>
            </w:r>
            <w:r>
              <w:t xml:space="preserve"> </w:t>
            </w:r>
            <w:r w:rsidRPr="00C413F2">
              <w:t xml:space="preserve">will </w:t>
            </w:r>
            <w:r>
              <w:t>do the following:</w:t>
            </w:r>
          </w:p>
          <w:p w14:paraId="7D423409" w14:textId="511D615A" w:rsidR="009C36CD" w:rsidRDefault="00B135D7" w:rsidP="00771B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413F2">
              <w:t xml:space="preserve">comply with </w:t>
            </w:r>
            <w:r w:rsidR="00335DB6">
              <w:t xml:space="preserve">applicable </w:t>
            </w:r>
            <w:r w:rsidR="00A63E96" w:rsidRPr="007F13CA">
              <w:t>Identity Theft Enforcement and Protection Act</w:t>
            </w:r>
            <w:r w:rsidR="00A63E96">
              <w:t xml:space="preserve"> </w:t>
            </w:r>
            <w:r w:rsidRPr="00C413F2">
              <w:t>not</w:t>
            </w:r>
            <w:r w:rsidRPr="00C413F2">
              <w:t>ification requirements</w:t>
            </w:r>
            <w:r>
              <w:t xml:space="preserve"> following a security breach;</w:t>
            </w:r>
          </w:p>
          <w:p w14:paraId="6FD3347A" w14:textId="77777777" w:rsidR="00C413F2" w:rsidRDefault="00B135D7" w:rsidP="00771B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notify the state agency </w:t>
            </w:r>
            <w:r w:rsidRPr="00C413F2">
              <w:t>not later than 48 hours after the discovery of the breach of system security, suspected breach of system security, or unauthorized exposure;</w:t>
            </w:r>
          </w:p>
          <w:p w14:paraId="14912C3A" w14:textId="13714F61" w:rsidR="002D34C0" w:rsidRDefault="00B135D7" w:rsidP="00771B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D34C0">
              <w:t xml:space="preserve">assist each person whose personal </w:t>
            </w:r>
            <w:r w:rsidRPr="002D34C0">
              <w:t>information was exposed with</w:t>
            </w:r>
            <w:r>
              <w:t xml:space="preserve"> </w:t>
            </w:r>
            <w:r w:rsidRPr="002D34C0">
              <w:t>protecting the person from identity theft</w:t>
            </w:r>
            <w:r>
              <w:t xml:space="preserve"> and </w:t>
            </w:r>
            <w:r w:rsidRPr="002D34C0">
              <w:t>protecting or restoring the person's credit rating;</w:t>
            </w:r>
            <w:r w:rsidR="003E0E02">
              <w:t xml:space="preserve"> and</w:t>
            </w:r>
          </w:p>
          <w:p w14:paraId="205A62F2" w14:textId="4777EDDF" w:rsidR="002D34C0" w:rsidRDefault="00B135D7" w:rsidP="00771B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D34C0">
              <w:t>pay any civil penalty assessed against the contractor</w:t>
            </w:r>
            <w:r w:rsidR="003E0E02">
              <w:t>.</w:t>
            </w:r>
          </w:p>
          <w:p w14:paraId="4692A865" w14:textId="5F7CEC8D" w:rsidR="002D34C0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That statement must also indicate that the contractor </w:t>
            </w:r>
            <w:r w:rsidRPr="002D34C0">
              <w:t>acknowledges tha</w:t>
            </w:r>
            <w:r w:rsidRPr="002D34C0">
              <w:t>t</w:t>
            </w:r>
            <w:r w:rsidR="00A63E96">
              <w:t xml:space="preserve"> its</w:t>
            </w:r>
            <w:r w:rsidRPr="002D34C0">
              <w:t xml:space="preserve"> failure to comply with</w:t>
            </w:r>
            <w:r>
              <w:t xml:space="preserve"> those conditions </w:t>
            </w:r>
            <w:r w:rsidRPr="002D34C0">
              <w:t>constitutes a default of the contract on notice from the state agency</w:t>
            </w:r>
            <w:r>
              <w:t xml:space="preserve"> and </w:t>
            </w:r>
            <w:r w:rsidRPr="002D34C0">
              <w:t>may subject the</w:t>
            </w:r>
            <w:r>
              <w:t>m</w:t>
            </w:r>
            <w:r w:rsidRPr="002D34C0">
              <w:t xml:space="preserve"> to debarment from </w:t>
            </w:r>
            <w:r>
              <w:t xml:space="preserve">state </w:t>
            </w:r>
            <w:r w:rsidRPr="002D34C0">
              <w:t>contracting.</w:t>
            </w:r>
            <w:r>
              <w:t xml:space="preserve"> </w:t>
            </w:r>
          </w:p>
          <w:p w14:paraId="0352F34D" w14:textId="77777777" w:rsidR="002D34C0" w:rsidRDefault="002D34C0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4C84D3" w14:textId="76B1A264" w:rsidR="007F13CA" w:rsidRPr="007F13CA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H.B. 1743 requires a state agency that determines </w:t>
            </w:r>
            <w:r w:rsidRPr="002D34C0">
              <w:t xml:space="preserve">a contractor </w:t>
            </w:r>
            <w:r>
              <w:t xml:space="preserve">is noncompliant </w:t>
            </w:r>
            <w:r w:rsidR="003E0E02">
              <w:t xml:space="preserve">with the aforementioned contract standards </w:t>
            </w:r>
            <w:r>
              <w:t xml:space="preserve">to refer the matter to the comptroller of public accounts for action. </w:t>
            </w:r>
            <w:r w:rsidR="00F92AE9">
              <w:t xml:space="preserve">The bill requires the comptroller to </w:t>
            </w:r>
            <w:r w:rsidR="00F92AE9" w:rsidRPr="00F92AE9">
              <w:t xml:space="preserve">bar the contractor from </w:t>
            </w:r>
            <w:r w:rsidR="003E0E02">
              <w:t xml:space="preserve">state </w:t>
            </w:r>
            <w:r w:rsidR="00F92AE9" w:rsidRPr="00F92AE9">
              <w:t>contracting using</w:t>
            </w:r>
            <w:r w:rsidR="00F92AE9">
              <w:t xml:space="preserve"> </w:t>
            </w:r>
            <w:r w:rsidR="00A63E96">
              <w:t xml:space="preserve">the </w:t>
            </w:r>
            <w:r w:rsidR="00F92AE9">
              <w:t>procedures</w:t>
            </w:r>
            <w:r w:rsidR="003E0E02">
              <w:t xml:space="preserve"> prescribed by </w:t>
            </w:r>
            <w:r w:rsidR="00A63E96">
              <w:t xml:space="preserve">applicable </w:t>
            </w:r>
            <w:r w:rsidR="003E0E02">
              <w:t>state law</w:t>
            </w:r>
            <w:r w:rsidR="00F92AE9">
              <w:t xml:space="preserve"> and establishes that </w:t>
            </w:r>
            <w:r w:rsidR="003E0E02">
              <w:t xml:space="preserve">the </w:t>
            </w:r>
            <w:r w:rsidR="00F92AE9">
              <w:t xml:space="preserve">debarment </w:t>
            </w:r>
            <w:r w:rsidR="00F92AE9" w:rsidRPr="00F92AE9">
              <w:t>expires on the third anniversary of the</w:t>
            </w:r>
            <w:r w:rsidR="003E0E02">
              <w:t xml:space="preserve"> debarment</w:t>
            </w:r>
            <w:r w:rsidR="00F92AE9" w:rsidRPr="00F92AE9">
              <w:t xml:space="preserve"> date.</w:t>
            </w:r>
            <w:r w:rsidR="00F92AE9">
              <w:t xml:space="preserve"> The bill makes a contractor who obtains</w:t>
            </w:r>
            <w:r w:rsidR="00A63E96">
              <w:t xml:space="preserve"> computerized</w:t>
            </w:r>
            <w:r w:rsidR="00F92AE9">
              <w:t xml:space="preserve"> </w:t>
            </w:r>
            <w:r>
              <w:t>data</w:t>
            </w:r>
            <w:r w:rsidR="003E0E02">
              <w:t xml:space="preserve"> </w:t>
            </w:r>
            <w:r w:rsidR="003D5AB1">
              <w:t xml:space="preserve">that includes information </w:t>
            </w:r>
            <w:r w:rsidR="003E0E02">
              <w:t>to which the bill applies</w:t>
            </w:r>
            <w:r>
              <w:t xml:space="preserve"> from a state agency liable to the state </w:t>
            </w:r>
            <w:r w:rsidRPr="007F13CA">
              <w:t>for a civil penalty impo</w:t>
            </w:r>
            <w:r w:rsidRPr="007F13CA">
              <w:t>sed in accordance with</w:t>
            </w:r>
            <w:r>
              <w:t xml:space="preserve"> </w:t>
            </w:r>
            <w:r w:rsidR="003D5AB1">
              <w:t xml:space="preserve">applicable provisions of </w:t>
            </w:r>
            <w:r w:rsidRPr="007F13CA">
              <w:t>the Identity Theft Enforcement and Protection Act</w:t>
            </w:r>
            <w:r>
              <w:t xml:space="preserve"> for a breach of </w:t>
            </w:r>
            <w:r w:rsidRPr="007F13CA">
              <w:t>system security or an unauthorized exposure of that information.</w:t>
            </w:r>
            <w:r>
              <w:t xml:space="preserve"> </w:t>
            </w:r>
          </w:p>
          <w:p w14:paraId="329060CE" w14:textId="77777777" w:rsidR="008423E4" w:rsidRPr="00835628" w:rsidRDefault="008423E4" w:rsidP="00771B8D">
            <w:pPr>
              <w:rPr>
                <w:b/>
              </w:rPr>
            </w:pPr>
          </w:p>
        </w:tc>
      </w:tr>
      <w:tr w:rsidR="001F7193" w14:paraId="0B8724BC" w14:textId="77777777" w:rsidTr="00345119">
        <w:tc>
          <w:tcPr>
            <w:tcW w:w="9576" w:type="dxa"/>
          </w:tcPr>
          <w:p w14:paraId="61DEB328" w14:textId="77777777" w:rsidR="008423E4" w:rsidRPr="00A8133F" w:rsidRDefault="00B135D7" w:rsidP="00771B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 w:rsidR="007F13CA">
              <w:rPr>
                <w:b/>
              </w:rPr>
              <w:t xml:space="preserve"> </w:t>
            </w:r>
          </w:p>
          <w:p w14:paraId="378BE6DD" w14:textId="77777777" w:rsidR="008423E4" w:rsidRDefault="008423E4" w:rsidP="00771B8D"/>
          <w:p w14:paraId="0D248441" w14:textId="77777777" w:rsidR="008423E4" w:rsidRPr="003624F2" w:rsidRDefault="00B135D7" w:rsidP="00771B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F26E88" w14:textId="77777777" w:rsidR="008423E4" w:rsidRPr="00233FDB" w:rsidRDefault="008423E4" w:rsidP="00771B8D">
            <w:pPr>
              <w:rPr>
                <w:b/>
              </w:rPr>
            </w:pPr>
          </w:p>
        </w:tc>
      </w:tr>
    </w:tbl>
    <w:p w14:paraId="3B67A699" w14:textId="1F2ABA5C" w:rsidR="004108C3" w:rsidRPr="008423E4" w:rsidRDefault="004108C3" w:rsidP="00771B8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F4A6" w14:textId="77777777" w:rsidR="00000000" w:rsidRDefault="00B135D7">
      <w:r>
        <w:separator/>
      </w:r>
    </w:p>
  </w:endnote>
  <w:endnote w:type="continuationSeparator" w:id="0">
    <w:p w14:paraId="13C06294" w14:textId="77777777" w:rsidR="00000000" w:rsidRDefault="00B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D808" w14:textId="77777777" w:rsidR="00BD618D" w:rsidRDefault="00BD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7193" w14:paraId="047DCE08" w14:textId="77777777" w:rsidTr="009C1E9A">
      <w:trPr>
        <w:cantSplit/>
      </w:trPr>
      <w:tc>
        <w:tcPr>
          <w:tcW w:w="0" w:type="pct"/>
        </w:tcPr>
        <w:p w14:paraId="055F7C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32E5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A710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3EBF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5413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7193" w14:paraId="40440261" w14:textId="77777777" w:rsidTr="009C1E9A">
      <w:trPr>
        <w:cantSplit/>
      </w:trPr>
      <w:tc>
        <w:tcPr>
          <w:tcW w:w="0" w:type="pct"/>
        </w:tcPr>
        <w:p w14:paraId="6955AD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FE063C" w14:textId="29C6391F" w:rsidR="00EC379B" w:rsidRPr="009C1E9A" w:rsidRDefault="00B135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24770</w:t>
          </w:r>
        </w:p>
      </w:tc>
      <w:tc>
        <w:tcPr>
          <w:tcW w:w="2453" w:type="pct"/>
        </w:tcPr>
        <w:p w14:paraId="2A41FAEC" w14:textId="58892FE5" w:rsidR="00EC379B" w:rsidRDefault="00B135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71B8D">
            <w:t>21.126.415</w:t>
          </w:r>
          <w:r>
            <w:fldChar w:fldCharType="end"/>
          </w:r>
        </w:p>
      </w:tc>
    </w:tr>
    <w:tr w:rsidR="001F7193" w14:paraId="01F1AF15" w14:textId="77777777" w:rsidTr="009C1E9A">
      <w:trPr>
        <w:cantSplit/>
      </w:trPr>
      <w:tc>
        <w:tcPr>
          <w:tcW w:w="0" w:type="pct"/>
        </w:tcPr>
        <w:p w14:paraId="0C1C2A7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96E2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A8730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4981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7193" w14:paraId="3F2DBC4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D658C6" w14:textId="2B632C52" w:rsidR="00EC379B" w:rsidRDefault="00B135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71B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187A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9D141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3244" w14:textId="77777777" w:rsidR="00BD618D" w:rsidRDefault="00BD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2D3A" w14:textId="77777777" w:rsidR="00000000" w:rsidRDefault="00B135D7">
      <w:r>
        <w:separator/>
      </w:r>
    </w:p>
  </w:footnote>
  <w:footnote w:type="continuationSeparator" w:id="0">
    <w:p w14:paraId="1DE2B685" w14:textId="77777777" w:rsidR="00000000" w:rsidRDefault="00B1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1020" w14:textId="77777777" w:rsidR="00BD618D" w:rsidRDefault="00BD6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6C4D" w14:textId="77777777" w:rsidR="00BD618D" w:rsidRDefault="00BD6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F517" w14:textId="77777777" w:rsidR="00BD618D" w:rsidRDefault="00BD6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D66"/>
    <w:multiLevelType w:val="hybridMultilevel"/>
    <w:tmpl w:val="20C0D258"/>
    <w:lvl w:ilvl="0" w:tplc="C9B0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A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B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25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9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E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E2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5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AD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0B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193"/>
    <w:rsid w:val="00200B9E"/>
    <w:rsid w:val="00200BF5"/>
    <w:rsid w:val="002010D1"/>
    <w:rsid w:val="00201338"/>
    <w:rsid w:val="0020775D"/>
    <w:rsid w:val="002116DD"/>
    <w:rsid w:val="00212A4C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4C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BE6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DB6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24E"/>
    <w:rsid w:val="003D5AB1"/>
    <w:rsid w:val="003D726D"/>
    <w:rsid w:val="003E0875"/>
    <w:rsid w:val="003E0BB8"/>
    <w:rsid w:val="003E0E0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EE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DFE"/>
    <w:rsid w:val="004B138F"/>
    <w:rsid w:val="004B412A"/>
    <w:rsid w:val="004B576C"/>
    <w:rsid w:val="004B772A"/>
    <w:rsid w:val="004C302F"/>
    <w:rsid w:val="004C4098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CDD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94D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54"/>
    <w:rsid w:val="00605F7B"/>
    <w:rsid w:val="00607E64"/>
    <w:rsid w:val="006106E9"/>
    <w:rsid w:val="0061159E"/>
    <w:rsid w:val="00613DCA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3CD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830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B8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3C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23"/>
    <w:rsid w:val="00812BE3"/>
    <w:rsid w:val="00814516"/>
    <w:rsid w:val="00815C9D"/>
    <w:rsid w:val="008170E2"/>
    <w:rsid w:val="0082305A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1A7"/>
    <w:rsid w:val="008E3338"/>
    <w:rsid w:val="008E47BE"/>
    <w:rsid w:val="008F09DF"/>
    <w:rsid w:val="008F3053"/>
    <w:rsid w:val="008F3136"/>
    <w:rsid w:val="008F40DF"/>
    <w:rsid w:val="008F58DA"/>
    <w:rsid w:val="008F5E16"/>
    <w:rsid w:val="008F5EFC"/>
    <w:rsid w:val="00901670"/>
    <w:rsid w:val="00902212"/>
    <w:rsid w:val="00903E0A"/>
    <w:rsid w:val="00903F22"/>
    <w:rsid w:val="00904721"/>
    <w:rsid w:val="00905B70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B62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797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70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6FC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B00"/>
    <w:rsid w:val="00A61C27"/>
    <w:rsid w:val="00A6344D"/>
    <w:rsid w:val="00A63E96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C6E"/>
    <w:rsid w:val="00B135D7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18D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3F2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0B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0A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EFC"/>
    <w:rsid w:val="00E55DA0"/>
    <w:rsid w:val="00E56033"/>
    <w:rsid w:val="00E61159"/>
    <w:rsid w:val="00E625DA"/>
    <w:rsid w:val="00E634DC"/>
    <w:rsid w:val="00E667F3"/>
    <w:rsid w:val="00E66A46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DA3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AE9"/>
    <w:rsid w:val="00F96602"/>
    <w:rsid w:val="00F9735A"/>
    <w:rsid w:val="00FA32FC"/>
    <w:rsid w:val="00FA59FD"/>
    <w:rsid w:val="00FA5D8C"/>
    <w:rsid w:val="00FA6403"/>
    <w:rsid w:val="00FA6AE1"/>
    <w:rsid w:val="00FB16CD"/>
    <w:rsid w:val="00FB3AB4"/>
    <w:rsid w:val="00FB73AE"/>
    <w:rsid w:val="00FC5388"/>
    <w:rsid w:val="00FC726C"/>
    <w:rsid w:val="00FD1B4B"/>
    <w:rsid w:val="00FD1B94"/>
    <w:rsid w:val="00FD63D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C2119E-087E-4F17-BC92-2FC120C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13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3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3CA"/>
    <w:rPr>
      <w:b/>
      <w:bCs/>
    </w:rPr>
  </w:style>
  <w:style w:type="character" w:styleId="Hyperlink">
    <w:name w:val="Hyperlink"/>
    <w:basedOn w:val="DefaultParagraphFont"/>
    <w:unhideWhenUsed/>
    <w:rsid w:val="00B11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6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2958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HB01743 (Committee Report (Unamended))</vt:lpstr>
    </vt:vector>
  </TitlesOfParts>
  <Company>State of Texas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24770</dc:subject>
  <dc:creator>State of Texas</dc:creator>
  <dc:description>HB 1743 by Guerra-(H)State Affairs</dc:description>
  <cp:lastModifiedBy>Damian Duarte</cp:lastModifiedBy>
  <cp:revision>2</cp:revision>
  <cp:lastPrinted>2003-11-26T17:21:00Z</cp:lastPrinted>
  <dcterms:created xsi:type="dcterms:W3CDTF">2021-05-08T18:43:00Z</dcterms:created>
  <dcterms:modified xsi:type="dcterms:W3CDTF">2021-05-08T18:43:00Z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21.126.415</vt:lpwstr>
  </property>
</Properties>
</file>