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10D11" w14:paraId="10A369A6" w14:textId="77777777" w:rsidTr="00345119">
        <w:tc>
          <w:tcPr>
            <w:tcW w:w="9576" w:type="dxa"/>
            <w:noWrap/>
          </w:tcPr>
          <w:p w14:paraId="5B817647" w14:textId="77777777" w:rsidR="008423E4" w:rsidRPr="0022177D" w:rsidRDefault="00507402" w:rsidP="00526E6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18AF56" w14:textId="77777777" w:rsidR="008423E4" w:rsidRPr="0022177D" w:rsidRDefault="008423E4" w:rsidP="00526E6A">
      <w:pPr>
        <w:jc w:val="center"/>
      </w:pPr>
    </w:p>
    <w:p w14:paraId="160B72A0" w14:textId="77777777" w:rsidR="008423E4" w:rsidRPr="00B31F0E" w:rsidRDefault="008423E4" w:rsidP="00526E6A"/>
    <w:p w14:paraId="50392BAE" w14:textId="77777777" w:rsidR="008423E4" w:rsidRPr="00742794" w:rsidRDefault="008423E4" w:rsidP="00526E6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0D11" w14:paraId="08B1A17D" w14:textId="77777777" w:rsidTr="00345119">
        <w:tc>
          <w:tcPr>
            <w:tcW w:w="9576" w:type="dxa"/>
          </w:tcPr>
          <w:p w14:paraId="3C4D9DF5" w14:textId="77777777" w:rsidR="008423E4" w:rsidRPr="00861995" w:rsidRDefault="00507402" w:rsidP="00526E6A">
            <w:pPr>
              <w:jc w:val="right"/>
            </w:pPr>
            <w:r>
              <w:t>H.B. 1744</w:t>
            </w:r>
          </w:p>
        </w:tc>
      </w:tr>
      <w:tr w:rsidR="00E10D11" w14:paraId="38110051" w14:textId="77777777" w:rsidTr="00345119">
        <w:tc>
          <w:tcPr>
            <w:tcW w:w="9576" w:type="dxa"/>
          </w:tcPr>
          <w:p w14:paraId="218CF7F4" w14:textId="77777777" w:rsidR="008423E4" w:rsidRPr="00861995" w:rsidRDefault="00507402" w:rsidP="00526E6A">
            <w:pPr>
              <w:jc w:val="right"/>
            </w:pPr>
            <w:r>
              <w:t xml:space="preserve">By: </w:t>
            </w:r>
            <w:r w:rsidR="005B770A">
              <w:t>Guerra</w:t>
            </w:r>
          </w:p>
        </w:tc>
      </w:tr>
      <w:tr w:rsidR="00E10D11" w14:paraId="394E9FAE" w14:textId="77777777" w:rsidTr="00345119">
        <w:tc>
          <w:tcPr>
            <w:tcW w:w="9576" w:type="dxa"/>
          </w:tcPr>
          <w:p w14:paraId="7F45F17F" w14:textId="77777777" w:rsidR="008423E4" w:rsidRPr="00861995" w:rsidRDefault="00507402" w:rsidP="00526E6A">
            <w:pPr>
              <w:jc w:val="right"/>
            </w:pPr>
            <w:r>
              <w:t>Public Education</w:t>
            </w:r>
          </w:p>
        </w:tc>
      </w:tr>
      <w:tr w:rsidR="00E10D11" w14:paraId="69A9FDF6" w14:textId="77777777" w:rsidTr="00345119">
        <w:tc>
          <w:tcPr>
            <w:tcW w:w="9576" w:type="dxa"/>
          </w:tcPr>
          <w:p w14:paraId="1850AA82" w14:textId="77777777" w:rsidR="008423E4" w:rsidRDefault="00507402" w:rsidP="00526E6A">
            <w:pPr>
              <w:jc w:val="right"/>
            </w:pPr>
            <w:r>
              <w:t>Committee Report (Unamended)</w:t>
            </w:r>
          </w:p>
        </w:tc>
      </w:tr>
    </w:tbl>
    <w:p w14:paraId="3980C42C" w14:textId="77777777" w:rsidR="008423E4" w:rsidRDefault="008423E4" w:rsidP="00526E6A">
      <w:pPr>
        <w:tabs>
          <w:tab w:val="right" w:pos="9360"/>
        </w:tabs>
      </w:pPr>
    </w:p>
    <w:p w14:paraId="1BF2A4DA" w14:textId="77777777" w:rsidR="008423E4" w:rsidRDefault="008423E4" w:rsidP="00526E6A"/>
    <w:p w14:paraId="46AB0301" w14:textId="77777777" w:rsidR="008423E4" w:rsidRDefault="008423E4" w:rsidP="00526E6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10D11" w14:paraId="34326AC1" w14:textId="77777777" w:rsidTr="00345119">
        <w:tc>
          <w:tcPr>
            <w:tcW w:w="9576" w:type="dxa"/>
          </w:tcPr>
          <w:p w14:paraId="299F25F7" w14:textId="77777777" w:rsidR="008423E4" w:rsidRPr="00A8133F" w:rsidRDefault="00507402" w:rsidP="00526E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803E16" w14:textId="77777777" w:rsidR="008423E4" w:rsidRDefault="008423E4" w:rsidP="00526E6A"/>
          <w:p w14:paraId="7A33B10B" w14:textId="5EAE4F6B" w:rsidR="008423E4" w:rsidRDefault="00507402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while o</w:t>
            </w:r>
            <w:r w:rsidR="00D20A48">
              <w:t>ne in four Texas students are designated as English learners</w:t>
            </w:r>
            <w:r w:rsidR="0014225D">
              <w:t xml:space="preserve">, </w:t>
            </w:r>
            <w:r w:rsidR="00D20A48">
              <w:t>there is a shortage of qualified bilingual educators</w:t>
            </w:r>
            <w:r w:rsidR="00103F86">
              <w:t xml:space="preserve"> across the state</w:t>
            </w:r>
            <w:r w:rsidR="00D20A48">
              <w:t xml:space="preserve">, especially in rural areas. </w:t>
            </w:r>
            <w:r w:rsidR="00103F86">
              <w:t xml:space="preserve">There have been calls </w:t>
            </w:r>
            <w:r w:rsidR="00D20A48">
              <w:t>to identify promising high school students and incentivize them to become bilingual teachers.</w:t>
            </w:r>
            <w:r w:rsidR="00103F86">
              <w:t xml:space="preserve"> H.B. 1744 seeks to address this issue by </w:t>
            </w:r>
            <w:r w:rsidR="00D20A48">
              <w:t>creat</w:t>
            </w:r>
            <w:r w:rsidR="00103F86">
              <w:t>ing</w:t>
            </w:r>
            <w:r w:rsidR="00D20A48">
              <w:t xml:space="preserve"> a career and technology education program and financial incentives that encourage high school students to become bilingual teachers.</w:t>
            </w:r>
          </w:p>
          <w:p w14:paraId="6AB81CB6" w14:textId="4C2D200F" w:rsidR="0014225D" w:rsidRPr="00E26B13" w:rsidRDefault="0014225D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10D11" w14:paraId="316A7D3D" w14:textId="77777777" w:rsidTr="00345119">
        <w:tc>
          <w:tcPr>
            <w:tcW w:w="9576" w:type="dxa"/>
          </w:tcPr>
          <w:p w14:paraId="0D363287" w14:textId="77777777" w:rsidR="0017725B" w:rsidRDefault="00507402" w:rsidP="00526E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3D124C" w14:textId="77777777" w:rsidR="0017725B" w:rsidRDefault="0017725B" w:rsidP="00526E6A">
            <w:pPr>
              <w:rPr>
                <w:b/>
                <w:u w:val="single"/>
              </w:rPr>
            </w:pPr>
          </w:p>
          <w:p w14:paraId="08F3E2BA" w14:textId="77777777" w:rsidR="00D20A48" w:rsidRPr="00D20A48" w:rsidRDefault="00507402" w:rsidP="00526E6A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0F4DA974" w14:textId="77777777" w:rsidR="0017725B" w:rsidRPr="0017725B" w:rsidRDefault="0017725B" w:rsidP="00526E6A">
            <w:pPr>
              <w:rPr>
                <w:b/>
                <w:u w:val="single"/>
              </w:rPr>
            </w:pPr>
          </w:p>
        </w:tc>
      </w:tr>
      <w:tr w:rsidR="00E10D11" w14:paraId="2A5AA701" w14:textId="77777777" w:rsidTr="00345119">
        <w:tc>
          <w:tcPr>
            <w:tcW w:w="9576" w:type="dxa"/>
          </w:tcPr>
          <w:p w14:paraId="5D536C8B" w14:textId="77777777" w:rsidR="008423E4" w:rsidRPr="00A8133F" w:rsidRDefault="00507402" w:rsidP="00526E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77F31A" w14:textId="77777777" w:rsidR="008423E4" w:rsidRDefault="008423E4" w:rsidP="00526E6A"/>
          <w:p w14:paraId="68B607C8" w14:textId="77777777" w:rsidR="00D20A48" w:rsidRDefault="00507402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</w:t>
            </w:r>
            <w:r>
              <w:t>Higher Education Coordinating Board in SECTION 3 of this bill.</w:t>
            </w:r>
          </w:p>
          <w:p w14:paraId="2A556D9B" w14:textId="77777777" w:rsidR="008423E4" w:rsidRPr="00E21FDC" w:rsidRDefault="008423E4" w:rsidP="00526E6A">
            <w:pPr>
              <w:rPr>
                <w:b/>
              </w:rPr>
            </w:pPr>
          </w:p>
        </w:tc>
      </w:tr>
      <w:tr w:rsidR="00E10D11" w14:paraId="3E41FCBB" w14:textId="77777777" w:rsidTr="00345119">
        <w:tc>
          <w:tcPr>
            <w:tcW w:w="9576" w:type="dxa"/>
          </w:tcPr>
          <w:p w14:paraId="72C5A714" w14:textId="77777777" w:rsidR="008423E4" w:rsidRPr="00A8133F" w:rsidRDefault="00507402" w:rsidP="00526E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A7A2AD" w14:textId="77777777" w:rsidR="008423E4" w:rsidRDefault="008423E4" w:rsidP="00526E6A"/>
          <w:p w14:paraId="71189CCA" w14:textId="1A6AE59E" w:rsidR="00103F86" w:rsidRDefault="00507402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1744 amends the Education Code to require the Texas Higher Education Coordinating Board </w:t>
            </w:r>
            <w:r w:rsidR="0029682A">
              <w:t xml:space="preserve">(THECB) </w:t>
            </w:r>
            <w:r>
              <w:t>to establish a program</w:t>
            </w:r>
            <w:r>
              <w:t xml:space="preserve"> to provide financial incentives such as tuition assistance or student loan repayment </w:t>
            </w:r>
            <w:r w:rsidR="00210FE0">
              <w:t>for</w:t>
            </w:r>
            <w:r>
              <w:t xml:space="preserve"> the following</w:t>
            </w:r>
            <w:r w:rsidR="00210FE0">
              <w:t xml:space="preserve"> purposes</w:t>
            </w:r>
            <w:r>
              <w:t>:</w:t>
            </w:r>
          </w:p>
          <w:p w14:paraId="5843D855" w14:textId="603CC064" w:rsidR="00103F86" w:rsidRDefault="00507402" w:rsidP="00526E6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assist </w:t>
            </w:r>
            <w:r w:rsidRPr="00453292">
              <w:t xml:space="preserve">persons in obtaining certification to teach bilingual education, English as a second language, or Spanish in a public elementary or </w:t>
            </w:r>
            <w:r w:rsidRPr="00453292">
              <w:t xml:space="preserve">secondary school in </w:t>
            </w:r>
            <w:r>
              <w:t>Texas; and</w:t>
            </w:r>
          </w:p>
          <w:p w14:paraId="3DCF24E6" w14:textId="03A42C2D" w:rsidR="00103F86" w:rsidRDefault="00507402" w:rsidP="00526E6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Pr="00453292">
              <w:t xml:space="preserve">facilitate the employment of those persons by a public elementary or secondary school in </w:t>
            </w:r>
            <w:r w:rsidR="0029682A">
              <w:t>Texas</w:t>
            </w:r>
            <w:r w:rsidRPr="00453292">
              <w:t xml:space="preserve"> that has a shortage of teachers certified to teach in those fields.</w:t>
            </w:r>
          </w:p>
          <w:p w14:paraId="4EC7543C" w14:textId="11F79D57" w:rsidR="00103F86" w:rsidRDefault="00507402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THECB, in administering the program, </w:t>
            </w:r>
            <w:r>
              <w:t>to give priority to awarding financial incentives to those eligible persons who demonstrate the greatest financial need. With regard to the program, the bill does the following:</w:t>
            </w:r>
          </w:p>
          <w:p w14:paraId="609D0136" w14:textId="09443E08" w:rsidR="00103F86" w:rsidRDefault="00507402" w:rsidP="00526E6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sets out the eligibility requirements to receive the financial incentives</w:t>
            </w:r>
            <w:r w:rsidR="00210FE0">
              <w:t>, including entering into a written agreement with the THECB</w:t>
            </w:r>
            <w:r w:rsidR="004F4D30">
              <w:t xml:space="preserve"> that requires the person to obtain an applicable teaching certification, accept an employment offer to teach in those fields under certain conditions, and teach for at least two school years</w:t>
            </w:r>
            <w:r>
              <w:t>;</w:t>
            </w:r>
          </w:p>
          <w:p w14:paraId="02446025" w14:textId="65A19E04" w:rsidR="00103F86" w:rsidRDefault="00507402" w:rsidP="00526E6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</w:t>
            </w:r>
            <w:r>
              <w:t xml:space="preserve"> the THECB to award financial incentives such as tuition assistance or student loan repayment to each</w:t>
            </w:r>
            <w:r w:rsidR="004F4D30">
              <w:t xml:space="preserve"> program</w:t>
            </w:r>
            <w:r>
              <w:t xml:space="preserve"> participant to </w:t>
            </w:r>
            <w:r w:rsidRPr="00300AE9">
              <w:t>assist with the cost of payment of mandatory tuition and fees for courses required to obtain</w:t>
            </w:r>
            <w:r w:rsidR="004F4D30">
              <w:t xml:space="preserve"> the</w:t>
            </w:r>
            <w:r w:rsidRPr="00300AE9">
              <w:t xml:space="preserve"> </w:t>
            </w:r>
            <w:r w:rsidR="00622358">
              <w:t>teaching</w:t>
            </w:r>
            <w:r w:rsidR="004F4D30">
              <w:t xml:space="preserve"> </w:t>
            </w:r>
            <w:r w:rsidRPr="00300AE9">
              <w:t>certification</w:t>
            </w:r>
            <w:r>
              <w:t>;</w:t>
            </w:r>
          </w:p>
          <w:p w14:paraId="142911A8" w14:textId="77777777" w:rsidR="00103F86" w:rsidRDefault="00507402" w:rsidP="00526E6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a</w:t>
            </w:r>
            <w:r>
              <w:t xml:space="preserve"> program participant who fails to meet the requirements of the agreement to reimburse the THECB for the amount of any assistance received by the participant;</w:t>
            </w:r>
          </w:p>
          <w:p w14:paraId="069725F1" w14:textId="77777777" w:rsidR="00103F86" w:rsidRDefault="00507402" w:rsidP="00526E6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THECB by rule to establish hardship exceptions to the reimbursement requirement;</w:t>
            </w:r>
          </w:p>
          <w:p w14:paraId="6F9732BD" w14:textId="6D9DA3A8" w:rsidR="00103F86" w:rsidRDefault="00507402" w:rsidP="00526E6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auth</w:t>
            </w:r>
            <w:r>
              <w:t xml:space="preserve">orizes the THECB, in addition to money appropriated by the legislature, to </w:t>
            </w:r>
            <w:r w:rsidRPr="00455530">
              <w:t xml:space="preserve">solicit and accept gifts, grants, and donations for the purposes </w:t>
            </w:r>
            <w:r w:rsidR="008149B9">
              <w:t>of the</w:t>
            </w:r>
            <w:r>
              <w:t xml:space="preserve"> program; and</w:t>
            </w:r>
          </w:p>
          <w:p w14:paraId="1682729A" w14:textId="539C5B8A" w:rsidR="00103F86" w:rsidRDefault="00507402" w:rsidP="00526E6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THECB to adopt rules necessary for the administration of the program, including a r</w:t>
            </w:r>
            <w:r>
              <w:t>ule that sets the maximum amount of financial assistance that a person may receive in one year.</w:t>
            </w:r>
          </w:p>
          <w:p w14:paraId="25732DD4" w14:textId="77777777" w:rsidR="00103F86" w:rsidRDefault="00103F86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99BA28" w14:textId="3CFDCE2D" w:rsidR="00455530" w:rsidRDefault="00507402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1744 </w:t>
            </w:r>
            <w:r w:rsidR="00103F86">
              <w:t>requires</w:t>
            </w:r>
            <w:r>
              <w:t xml:space="preserve"> the Texas Education Agency (TEA) to develop a program of study for use in career and technology education programs</w:t>
            </w:r>
            <w:r w:rsidR="00622358">
              <w:t xml:space="preserve"> beginning not later than the 2022-2023 school year</w:t>
            </w:r>
            <w:r>
              <w:t xml:space="preserve"> that prepares and assists students in pursuing a career teaching bilingual education, English as a second language, or Spanish. The bill requires TEA to post on </w:t>
            </w:r>
            <w:r w:rsidR="008149B9">
              <w:t>its</w:t>
            </w:r>
            <w:r>
              <w:t xml:space="preserve"> website information regarding the program of study an</w:t>
            </w:r>
            <w:r w:rsidR="008149B9">
              <w:t xml:space="preserve">d </w:t>
            </w:r>
            <w:r w:rsidRPr="00D20A48">
              <w:t>the financ</w:t>
            </w:r>
            <w:r w:rsidRPr="00D20A48">
              <w:t>ial incentive program</w:t>
            </w:r>
            <w:r w:rsidR="008149B9">
              <w:t xml:space="preserve"> administered by </w:t>
            </w:r>
            <w:r w:rsidR="00303116">
              <w:t xml:space="preserve">the </w:t>
            </w:r>
            <w:r w:rsidR="008149B9">
              <w:t>THECB</w:t>
            </w:r>
            <w:r w:rsidRPr="00D20A48">
              <w:t xml:space="preserve"> to prepare teachers to obtain certification</w:t>
            </w:r>
            <w:r w:rsidR="008149B9">
              <w:t xml:space="preserve"> to teach</w:t>
            </w:r>
            <w:r w:rsidRPr="00D20A48">
              <w:t xml:space="preserve"> </w:t>
            </w:r>
            <w:r w:rsidR="008149B9">
              <w:t>in those fields</w:t>
            </w:r>
            <w:r>
              <w:t>.</w:t>
            </w:r>
            <w:r w:rsidR="00622358">
              <w:t xml:space="preserve"> </w:t>
            </w:r>
          </w:p>
          <w:p w14:paraId="11877A7C" w14:textId="77777777" w:rsidR="00453292" w:rsidRDefault="00453292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233F97" w14:textId="2B58ED09" w:rsidR="00453292" w:rsidRPr="009C36CD" w:rsidRDefault="00507402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1744 requires the information provided by a school counselor about postsecondary education to a student and the student's parent or</w:t>
            </w:r>
            <w:r>
              <w:t xml:space="preserve"> guardian </w:t>
            </w:r>
            <w:r w:rsidR="0029682A">
              <w:t>e</w:t>
            </w:r>
            <w:r>
              <w:t xml:space="preserve">ach year </w:t>
            </w:r>
            <w:r w:rsidR="0029682A">
              <w:t>the student is enrolled at the high school level</w:t>
            </w:r>
            <w:r>
              <w:t xml:space="preserve"> to include information regarding</w:t>
            </w:r>
            <w:r w:rsidR="00622358">
              <w:t xml:space="preserve"> the availability of programs that prepare students for teaching</w:t>
            </w:r>
            <w:r>
              <w:t xml:space="preserve"> </w:t>
            </w:r>
            <w:r w:rsidR="00622358">
              <w:t xml:space="preserve">bilingual education, English as a second language, and Spanish, including </w:t>
            </w:r>
            <w:r>
              <w:t xml:space="preserve">the program of </w:t>
            </w:r>
            <w:r>
              <w:t>study</w:t>
            </w:r>
            <w:r w:rsidR="00622358">
              <w:t xml:space="preserve"> developed by TEA and</w:t>
            </w:r>
            <w:r>
              <w:t xml:space="preserve"> </w:t>
            </w:r>
            <w:r w:rsidRPr="00453292">
              <w:t xml:space="preserve">the financial incentive program administered by the </w:t>
            </w:r>
            <w:r w:rsidR="00103F86">
              <w:t>THECB</w:t>
            </w:r>
            <w:r>
              <w:t>.</w:t>
            </w:r>
            <w:r w:rsidR="004333B8">
              <w:t xml:space="preserve"> </w:t>
            </w:r>
            <w:r w:rsidR="00455530">
              <w:t xml:space="preserve">This requirement applies beginning with the 2022-2023 school year. </w:t>
            </w:r>
            <w:r w:rsidR="00300AE9">
              <w:t xml:space="preserve"> </w:t>
            </w:r>
          </w:p>
          <w:p w14:paraId="434B63D7" w14:textId="77777777" w:rsidR="008423E4" w:rsidRPr="00835628" w:rsidRDefault="008423E4" w:rsidP="00526E6A">
            <w:pPr>
              <w:rPr>
                <w:b/>
              </w:rPr>
            </w:pPr>
          </w:p>
        </w:tc>
      </w:tr>
      <w:tr w:rsidR="00E10D11" w14:paraId="6C6F5B4B" w14:textId="77777777" w:rsidTr="00345119">
        <w:tc>
          <w:tcPr>
            <w:tcW w:w="9576" w:type="dxa"/>
          </w:tcPr>
          <w:p w14:paraId="048972AC" w14:textId="77777777" w:rsidR="008423E4" w:rsidRPr="00A8133F" w:rsidRDefault="00507402" w:rsidP="00526E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800D0B5" w14:textId="77777777" w:rsidR="008423E4" w:rsidRDefault="008423E4" w:rsidP="00526E6A"/>
          <w:p w14:paraId="42536747" w14:textId="77777777" w:rsidR="008423E4" w:rsidRPr="003624F2" w:rsidRDefault="00507402" w:rsidP="00526E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2021.</w:t>
            </w:r>
          </w:p>
          <w:p w14:paraId="14ADD920" w14:textId="77777777" w:rsidR="008423E4" w:rsidRPr="00233FDB" w:rsidRDefault="008423E4" w:rsidP="00526E6A">
            <w:pPr>
              <w:rPr>
                <w:b/>
              </w:rPr>
            </w:pPr>
          </w:p>
        </w:tc>
      </w:tr>
    </w:tbl>
    <w:p w14:paraId="070E2EB5" w14:textId="77777777" w:rsidR="008423E4" w:rsidRPr="00BE0E75" w:rsidRDefault="008423E4" w:rsidP="00526E6A">
      <w:pPr>
        <w:jc w:val="both"/>
        <w:rPr>
          <w:rFonts w:ascii="Arial" w:hAnsi="Arial"/>
          <w:sz w:val="16"/>
          <w:szCs w:val="16"/>
        </w:rPr>
      </w:pPr>
    </w:p>
    <w:p w14:paraId="46227CF1" w14:textId="77777777" w:rsidR="004108C3" w:rsidRPr="008423E4" w:rsidRDefault="004108C3" w:rsidP="00526E6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05C3" w14:textId="77777777" w:rsidR="00000000" w:rsidRDefault="00507402">
      <w:r>
        <w:separator/>
      </w:r>
    </w:p>
  </w:endnote>
  <w:endnote w:type="continuationSeparator" w:id="0">
    <w:p w14:paraId="4281662A" w14:textId="77777777" w:rsidR="00000000" w:rsidRDefault="005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9A2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0D11" w14:paraId="6A262320" w14:textId="77777777" w:rsidTr="009C1E9A">
      <w:trPr>
        <w:cantSplit/>
      </w:trPr>
      <w:tc>
        <w:tcPr>
          <w:tcW w:w="0" w:type="pct"/>
        </w:tcPr>
        <w:p w14:paraId="11434E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209E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70076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D8D5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17ED7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0D11" w14:paraId="40977C61" w14:textId="77777777" w:rsidTr="009C1E9A">
      <w:trPr>
        <w:cantSplit/>
      </w:trPr>
      <w:tc>
        <w:tcPr>
          <w:tcW w:w="0" w:type="pct"/>
        </w:tcPr>
        <w:p w14:paraId="541E83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B32F02" w14:textId="77777777" w:rsidR="00EC379B" w:rsidRPr="009C1E9A" w:rsidRDefault="005074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22989</w:t>
          </w:r>
        </w:p>
      </w:tc>
      <w:tc>
        <w:tcPr>
          <w:tcW w:w="2453" w:type="pct"/>
        </w:tcPr>
        <w:p w14:paraId="421F29E8" w14:textId="7D02674A" w:rsidR="00EC379B" w:rsidRDefault="005074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03D0D">
            <w:t>21.119.1708</w:t>
          </w:r>
          <w:r>
            <w:fldChar w:fldCharType="end"/>
          </w:r>
        </w:p>
      </w:tc>
    </w:tr>
    <w:tr w:rsidR="00E10D11" w14:paraId="7809971F" w14:textId="77777777" w:rsidTr="009C1E9A">
      <w:trPr>
        <w:cantSplit/>
      </w:trPr>
      <w:tc>
        <w:tcPr>
          <w:tcW w:w="0" w:type="pct"/>
        </w:tcPr>
        <w:p w14:paraId="0E8B599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2F8290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54BD0F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9C1C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0D11" w14:paraId="2A1778F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2F77860" w14:textId="05BBBCA6" w:rsidR="00EC379B" w:rsidRDefault="005074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26E6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AD1B4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18949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1C8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7B2F" w14:textId="77777777" w:rsidR="00000000" w:rsidRDefault="00507402">
      <w:r>
        <w:separator/>
      </w:r>
    </w:p>
  </w:footnote>
  <w:footnote w:type="continuationSeparator" w:id="0">
    <w:p w14:paraId="270A1853" w14:textId="77777777" w:rsidR="00000000" w:rsidRDefault="0050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5F7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A0F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E4A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69D"/>
    <w:multiLevelType w:val="hybridMultilevel"/>
    <w:tmpl w:val="7A8CC1BE"/>
    <w:lvl w:ilvl="0" w:tplc="CDCA7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A3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69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63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6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8C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26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2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08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5BB"/>
    <w:multiLevelType w:val="hybridMultilevel"/>
    <w:tmpl w:val="8370FC08"/>
    <w:lvl w:ilvl="0" w:tplc="B9EA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41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C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26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A3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A2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4C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CA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C8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731F8"/>
    <w:multiLevelType w:val="hybridMultilevel"/>
    <w:tmpl w:val="4B9CFF60"/>
    <w:lvl w:ilvl="0" w:tplc="67E42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8F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84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F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4F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AF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68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A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0E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A1D08"/>
    <w:multiLevelType w:val="hybridMultilevel"/>
    <w:tmpl w:val="D1D093FC"/>
    <w:lvl w:ilvl="0" w:tplc="DA347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3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44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C1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83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A8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4E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E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88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68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F86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25D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FE0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82A"/>
    <w:rsid w:val="00296FF0"/>
    <w:rsid w:val="002A17C0"/>
    <w:rsid w:val="002A2D42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AE9"/>
    <w:rsid w:val="00300D7F"/>
    <w:rsid w:val="00301638"/>
    <w:rsid w:val="00303116"/>
    <w:rsid w:val="00303B0C"/>
    <w:rsid w:val="0030459C"/>
    <w:rsid w:val="00313DFE"/>
    <w:rsid w:val="003140E0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3B8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292"/>
    <w:rsid w:val="00455530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065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D30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402"/>
    <w:rsid w:val="00510503"/>
    <w:rsid w:val="0051324D"/>
    <w:rsid w:val="00515466"/>
    <w:rsid w:val="005154F7"/>
    <w:rsid w:val="005159DE"/>
    <w:rsid w:val="005269CE"/>
    <w:rsid w:val="00526E6A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70A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3D0D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35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989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9B9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A48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D11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215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89E828-D951-4C36-9ED2-2E0C3C4B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0A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A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3613</Characters>
  <Application>Microsoft Office Word</Application>
  <DocSecurity>4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HB01744 (Committee Report (Unamended))</vt:lpstr>
    </vt:vector>
  </TitlesOfParts>
  <Company>State of Texas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22989</dc:subject>
  <dc:creator>State of Texas</dc:creator>
  <dc:description>HB 1744 by Guerra-(H)Public Education</dc:description>
  <cp:lastModifiedBy>Thomas Weis</cp:lastModifiedBy>
  <cp:revision>2</cp:revision>
  <cp:lastPrinted>2003-11-26T17:21:00Z</cp:lastPrinted>
  <dcterms:created xsi:type="dcterms:W3CDTF">2021-05-04T22:54:00Z</dcterms:created>
  <dcterms:modified xsi:type="dcterms:W3CDTF">2021-05-04T22:54:00Z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21.119.1708</vt:lpwstr>
  </property>
</Properties>
</file>