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085D75" w14:paraId="72423392" w14:textId="77777777" w:rsidTr="00345119">
        <w:tc>
          <w:tcPr>
            <w:tcW w:w="9576" w:type="dxa"/>
            <w:noWrap/>
          </w:tcPr>
          <w:p w14:paraId="013F3E35" w14:textId="77777777" w:rsidR="008423E4" w:rsidRPr="0022177D" w:rsidRDefault="002C16E2" w:rsidP="00462767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0C14A58" w14:textId="77777777" w:rsidR="008423E4" w:rsidRPr="0022177D" w:rsidRDefault="008423E4" w:rsidP="00462767">
      <w:pPr>
        <w:jc w:val="center"/>
      </w:pPr>
    </w:p>
    <w:p w14:paraId="424E0356" w14:textId="77777777" w:rsidR="008423E4" w:rsidRPr="00B31F0E" w:rsidRDefault="008423E4" w:rsidP="00462767"/>
    <w:p w14:paraId="45E2CD56" w14:textId="77777777" w:rsidR="008423E4" w:rsidRPr="00742794" w:rsidRDefault="008423E4" w:rsidP="00462767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85D75" w14:paraId="0B6A5835" w14:textId="77777777" w:rsidTr="00345119">
        <w:tc>
          <w:tcPr>
            <w:tcW w:w="9576" w:type="dxa"/>
          </w:tcPr>
          <w:p w14:paraId="28EC46F1" w14:textId="77777777" w:rsidR="008423E4" w:rsidRPr="00861995" w:rsidRDefault="002C16E2" w:rsidP="00462767">
            <w:pPr>
              <w:jc w:val="right"/>
            </w:pPr>
            <w:r>
              <w:t>C.S.H.B. 1802</w:t>
            </w:r>
          </w:p>
        </w:tc>
      </w:tr>
      <w:tr w:rsidR="00085D75" w14:paraId="226C2FA3" w14:textId="77777777" w:rsidTr="00345119">
        <w:tc>
          <w:tcPr>
            <w:tcW w:w="9576" w:type="dxa"/>
          </w:tcPr>
          <w:p w14:paraId="09C695C4" w14:textId="77777777" w:rsidR="008423E4" w:rsidRPr="00861995" w:rsidRDefault="002C16E2" w:rsidP="00462767">
            <w:pPr>
              <w:jc w:val="right"/>
            </w:pPr>
            <w:r>
              <w:t xml:space="preserve">By: </w:t>
            </w:r>
            <w:r w:rsidR="006F636F">
              <w:t>Dominguez</w:t>
            </w:r>
          </w:p>
        </w:tc>
      </w:tr>
      <w:tr w:rsidR="00085D75" w14:paraId="70E84064" w14:textId="77777777" w:rsidTr="00345119">
        <w:tc>
          <w:tcPr>
            <w:tcW w:w="9576" w:type="dxa"/>
          </w:tcPr>
          <w:p w14:paraId="2B6C32DE" w14:textId="77777777" w:rsidR="008423E4" w:rsidRPr="00861995" w:rsidRDefault="002C16E2" w:rsidP="00462767">
            <w:pPr>
              <w:jc w:val="right"/>
            </w:pPr>
            <w:r>
              <w:t>Public Health</w:t>
            </w:r>
          </w:p>
        </w:tc>
      </w:tr>
      <w:tr w:rsidR="00085D75" w14:paraId="7A4813F9" w14:textId="77777777" w:rsidTr="00345119">
        <w:tc>
          <w:tcPr>
            <w:tcW w:w="9576" w:type="dxa"/>
          </w:tcPr>
          <w:p w14:paraId="18FB430D" w14:textId="77777777" w:rsidR="008423E4" w:rsidRDefault="002C16E2" w:rsidP="00462767">
            <w:pPr>
              <w:jc w:val="right"/>
            </w:pPr>
            <w:r>
              <w:t>Committee Report (Substituted)</w:t>
            </w:r>
          </w:p>
        </w:tc>
      </w:tr>
    </w:tbl>
    <w:p w14:paraId="3A3337E3" w14:textId="77777777" w:rsidR="008423E4" w:rsidRDefault="008423E4" w:rsidP="00462767">
      <w:pPr>
        <w:tabs>
          <w:tab w:val="right" w:pos="9360"/>
        </w:tabs>
      </w:pPr>
    </w:p>
    <w:p w14:paraId="59F3BFD4" w14:textId="77777777" w:rsidR="008423E4" w:rsidRDefault="008423E4" w:rsidP="00462767"/>
    <w:p w14:paraId="771302FA" w14:textId="77777777" w:rsidR="008423E4" w:rsidRDefault="008423E4" w:rsidP="00462767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085D75" w14:paraId="2E75BCA0" w14:textId="77777777" w:rsidTr="00345119">
        <w:tc>
          <w:tcPr>
            <w:tcW w:w="9576" w:type="dxa"/>
          </w:tcPr>
          <w:p w14:paraId="2F661E4B" w14:textId="77777777" w:rsidR="008423E4" w:rsidRPr="00A8133F" w:rsidRDefault="002C16E2" w:rsidP="0046276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BA4E541" w14:textId="77777777" w:rsidR="008423E4" w:rsidRDefault="008423E4" w:rsidP="00462767"/>
          <w:p w14:paraId="7FFBEFC9" w14:textId="19EAD817" w:rsidR="008423E4" w:rsidRDefault="002C16E2" w:rsidP="0046276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argued that </w:t>
            </w:r>
            <w:r w:rsidR="006F636F">
              <w:t>alternative forms of medical therapies could be capable of aiding veterans with treatment-resistant post</w:t>
            </w:r>
            <w:r w:rsidR="0098405F">
              <w:t>-</w:t>
            </w:r>
            <w:r w:rsidR="006F636F">
              <w:t xml:space="preserve">traumatic stress disorder. C.S.H.B. 1802 </w:t>
            </w:r>
            <w:r>
              <w:t xml:space="preserve">provides for a study on the efficacy of using alternative therapies to treat these veterans, </w:t>
            </w:r>
            <w:r w:rsidR="0098405F">
              <w:t xml:space="preserve">including specific requirements for </w:t>
            </w:r>
            <w:r w:rsidR="00CA3BEC">
              <w:t xml:space="preserve">clinical trials and reporting requirements. </w:t>
            </w:r>
          </w:p>
          <w:p w14:paraId="7F2AF7EA" w14:textId="77777777" w:rsidR="008423E4" w:rsidRPr="00E26B13" w:rsidRDefault="008423E4" w:rsidP="00462767">
            <w:pPr>
              <w:rPr>
                <w:b/>
              </w:rPr>
            </w:pPr>
          </w:p>
        </w:tc>
      </w:tr>
      <w:tr w:rsidR="00085D75" w14:paraId="752CF99B" w14:textId="77777777" w:rsidTr="00345119">
        <w:tc>
          <w:tcPr>
            <w:tcW w:w="9576" w:type="dxa"/>
          </w:tcPr>
          <w:p w14:paraId="75D22043" w14:textId="77777777" w:rsidR="0017725B" w:rsidRDefault="002C16E2" w:rsidP="0046276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92C97E3" w14:textId="77777777" w:rsidR="0017725B" w:rsidRDefault="0017725B" w:rsidP="00462767">
            <w:pPr>
              <w:rPr>
                <w:b/>
                <w:u w:val="single"/>
              </w:rPr>
            </w:pPr>
          </w:p>
          <w:p w14:paraId="5ECBA885" w14:textId="77777777" w:rsidR="006F636F" w:rsidRPr="006F636F" w:rsidRDefault="002C16E2" w:rsidP="00462767">
            <w:pPr>
              <w:jc w:val="both"/>
            </w:pPr>
            <w:r>
              <w:t>It is the comm</w:t>
            </w:r>
            <w:r>
              <w:t>ittee's opinion that this bill does not expressly create a criminal offense, increase the punishment for an existing criminal offense or category of offenses, or change the eligibility of a person for community supervision, parole, or mandatory supervision</w:t>
            </w:r>
            <w:r>
              <w:t>.</w:t>
            </w:r>
          </w:p>
          <w:p w14:paraId="460CD3FA" w14:textId="77777777" w:rsidR="0017725B" w:rsidRPr="0017725B" w:rsidRDefault="0017725B" w:rsidP="00462767">
            <w:pPr>
              <w:rPr>
                <w:b/>
                <w:u w:val="single"/>
              </w:rPr>
            </w:pPr>
          </w:p>
        </w:tc>
      </w:tr>
      <w:tr w:rsidR="00085D75" w14:paraId="761E2407" w14:textId="77777777" w:rsidTr="00345119">
        <w:tc>
          <w:tcPr>
            <w:tcW w:w="9576" w:type="dxa"/>
          </w:tcPr>
          <w:p w14:paraId="59709CB4" w14:textId="77777777" w:rsidR="008423E4" w:rsidRPr="00A8133F" w:rsidRDefault="002C16E2" w:rsidP="0046276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03886B9" w14:textId="77777777" w:rsidR="008423E4" w:rsidRDefault="008423E4" w:rsidP="00462767"/>
          <w:p w14:paraId="23953F2D" w14:textId="77777777" w:rsidR="006F636F" w:rsidRDefault="002C16E2" w:rsidP="0046276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2FA55E44" w14:textId="77777777" w:rsidR="008423E4" w:rsidRPr="00E21FDC" w:rsidRDefault="008423E4" w:rsidP="00462767">
            <w:pPr>
              <w:rPr>
                <w:b/>
              </w:rPr>
            </w:pPr>
          </w:p>
        </w:tc>
      </w:tr>
      <w:tr w:rsidR="00085D75" w14:paraId="301D7909" w14:textId="77777777" w:rsidTr="00345119">
        <w:tc>
          <w:tcPr>
            <w:tcW w:w="9576" w:type="dxa"/>
          </w:tcPr>
          <w:p w14:paraId="7D590BC3" w14:textId="77777777" w:rsidR="008423E4" w:rsidRPr="00A8133F" w:rsidRDefault="002C16E2" w:rsidP="0046276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C253558" w14:textId="77777777" w:rsidR="008423E4" w:rsidRDefault="008423E4" w:rsidP="00462767"/>
          <w:p w14:paraId="1A7C5467" w14:textId="77777777" w:rsidR="006F636F" w:rsidRDefault="002C16E2" w:rsidP="00462767">
            <w:pPr>
              <w:pStyle w:val="Header"/>
              <w:jc w:val="both"/>
            </w:pPr>
            <w:r>
              <w:t>C.S.H.B. 1802 requires</w:t>
            </w:r>
            <w:r>
              <w:t xml:space="preserve"> the Health and Human Services Commission (HHSC), in </w:t>
            </w:r>
            <w:r w:rsidRPr="006F636F">
              <w:t xml:space="preserve">collaboration with Baylor College of Medicine and in partnership with a military veterans hospital or a medical center that provides medical care to veterans, </w:t>
            </w:r>
            <w:r>
              <w:t xml:space="preserve">to </w:t>
            </w:r>
            <w:r w:rsidRPr="006F636F">
              <w:t xml:space="preserve">conduct a study on the efficacy of using </w:t>
            </w:r>
            <w:r w:rsidRPr="006F636F">
              <w:t>alternative therapies, including the use of 3,4-methylenedioxymethamphetamine (MDMA), psilocybin, and ketamine, in the treatment of veterans who suffer from post-traumatic stress disorder</w:t>
            </w:r>
            <w:r>
              <w:t>. The bill requires HHSC, in conducting the study</w:t>
            </w:r>
            <w:r w:rsidR="000907E3">
              <w:t xml:space="preserve">, to do the following </w:t>
            </w:r>
            <w:r>
              <w:t>in collaboration with the Baylor College of Medicine:</w:t>
            </w:r>
          </w:p>
          <w:p w14:paraId="2EBEA852" w14:textId="77777777" w:rsidR="006F636F" w:rsidRDefault="002C16E2" w:rsidP="00462767">
            <w:pPr>
              <w:pStyle w:val="Header"/>
              <w:numPr>
                <w:ilvl w:val="0"/>
                <w:numId w:val="1"/>
              </w:numPr>
              <w:jc w:val="both"/>
            </w:pPr>
            <w:r>
              <w:t>perform a clinical trial on the therapeutic efficacy of using psilocybin in the treatment of treatment-resistant post-traumatic stress disorder in veterans; and</w:t>
            </w:r>
          </w:p>
          <w:p w14:paraId="634C0E67" w14:textId="77777777" w:rsidR="006F636F" w:rsidRDefault="002C16E2" w:rsidP="00462767">
            <w:pPr>
              <w:pStyle w:val="Header"/>
              <w:numPr>
                <w:ilvl w:val="0"/>
                <w:numId w:val="1"/>
              </w:numPr>
              <w:jc w:val="both"/>
            </w:pPr>
            <w:r>
              <w:t>review current literature regarding:</w:t>
            </w:r>
          </w:p>
          <w:p w14:paraId="77D18398" w14:textId="77777777" w:rsidR="006F636F" w:rsidRDefault="002C16E2" w:rsidP="00462767">
            <w:pPr>
              <w:pStyle w:val="Header"/>
              <w:numPr>
                <w:ilvl w:val="1"/>
                <w:numId w:val="1"/>
              </w:numPr>
              <w:jc w:val="both"/>
            </w:pPr>
            <w:r>
              <w:t>th</w:t>
            </w:r>
            <w:r>
              <w:t>e safety and efficacy of 3,4-methylenedioxymethamphetamine (MDMA), psilocybin, and ketamine in the treatment of post-traumatic stress disorder; and</w:t>
            </w:r>
          </w:p>
          <w:p w14:paraId="3BB259ED" w14:textId="77777777" w:rsidR="006F636F" w:rsidRDefault="002C16E2" w:rsidP="00462767">
            <w:pPr>
              <w:pStyle w:val="Header"/>
              <w:numPr>
                <w:ilvl w:val="1"/>
                <w:numId w:val="1"/>
              </w:numPr>
              <w:jc w:val="both"/>
            </w:pPr>
            <w:r>
              <w:t>the access veterans have to 3,4-methylenedioxymethamphetamine (MDMA), psilocybin, and ketamine for treatment</w:t>
            </w:r>
            <w:r>
              <w:t xml:space="preserve"> of post-traumatic stress disorder in the United States.</w:t>
            </w:r>
          </w:p>
          <w:p w14:paraId="4430AEBE" w14:textId="77777777" w:rsidR="000907E3" w:rsidRDefault="000907E3" w:rsidP="00462767">
            <w:pPr>
              <w:pStyle w:val="Header"/>
              <w:jc w:val="both"/>
            </w:pPr>
          </w:p>
          <w:p w14:paraId="1AAC7A1B" w14:textId="77777777" w:rsidR="006F636F" w:rsidRDefault="002C16E2" w:rsidP="00462767">
            <w:pPr>
              <w:pStyle w:val="Header"/>
              <w:jc w:val="both"/>
            </w:pPr>
            <w:r>
              <w:t>C.S.H.B. 1802 requires HHSC to prepare and submit to the governor, the lieutenant governor, the speaker of the house of representatives, and each member of the legislature:</w:t>
            </w:r>
          </w:p>
          <w:p w14:paraId="65D5116F" w14:textId="77777777" w:rsidR="006F636F" w:rsidRDefault="002C16E2" w:rsidP="00462767">
            <w:pPr>
              <w:pStyle w:val="Header"/>
              <w:numPr>
                <w:ilvl w:val="0"/>
                <w:numId w:val="2"/>
              </w:numPr>
              <w:jc w:val="both"/>
            </w:pPr>
            <w:r>
              <w:t xml:space="preserve">quarterly reports on the </w:t>
            </w:r>
            <w:r>
              <w:t>progress of the study; and</w:t>
            </w:r>
          </w:p>
          <w:p w14:paraId="3A0AAEEF" w14:textId="77777777" w:rsidR="006F636F" w:rsidRDefault="002C16E2" w:rsidP="00462767">
            <w:pPr>
              <w:pStyle w:val="Header"/>
              <w:numPr>
                <w:ilvl w:val="0"/>
                <w:numId w:val="2"/>
              </w:numPr>
              <w:jc w:val="both"/>
            </w:pPr>
            <w:r>
              <w:t>not later than December 1, 2024, a written report containing the results of the study and any recommendations for legislative or other action.</w:t>
            </w:r>
          </w:p>
          <w:p w14:paraId="46E5D7F9" w14:textId="77777777" w:rsidR="006F636F" w:rsidRPr="009C36CD" w:rsidRDefault="002C16E2" w:rsidP="0046276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HHSC must ensure any protected health information collected during a clinical trial or</w:t>
            </w:r>
            <w:r>
              <w:t xml:space="preserve"> reported does not personally identify an individual. The bill's provisions expire September 1, 2025.</w:t>
            </w:r>
          </w:p>
          <w:p w14:paraId="1F185CEF" w14:textId="77777777" w:rsidR="008423E4" w:rsidRDefault="008423E4" w:rsidP="00462767">
            <w:pPr>
              <w:rPr>
                <w:b/>
              </w:rPr>
            </w:pPr>
          </w:p>
          <w:p w14:paraId="7A9B3A6E" w14:textId="76F7E4FB" w:rsidR="00462767" w:rsidRPr="00835628" w:rsidRDefault="00462767" w:rsidP="00462767">
            <w:pPr>
              <w:rPr>
                <w:b/>
              </w:rPr>
            </w:pPr>
          </w:p>
        </w:tc>
      </w:tr>
      <w:tr w:rsidR="00085D75" w14:paraId="2DA68DA4" w14:textId="77777777" w:rsidTr="00345119">
        <w:tc>
          <w:tcPr>
            <w:tcW w:w="9576" w:type="dxa"/>
          </w:tcPr>
          <w:p w14:paraId="75B91779" w14:textId="77777777" w:rsidR="008423E4" w:rsidRPr="00A8133F" w:rsidRDefault="002C16E2" w:rsidP="0046276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8C6688E" w14:textId="77777777" w:rsidR="008423E4" w:rsidRDefault="008423E4" w:rsidP="00462767"/>
          <w:p w14:paraId="4EA5E321" w14:textId="77777777" w:rsidR="008423E4" w:rsidRPr="003624F2" w:rsidRDefault="002C16E2" w:rsidP="0046276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4D075722" w14:textId="77777777" w:rsidR="008423E4" w:rsidRPr="00233FDB" w:rsidRDefault="008423E4" w:rsidP="00462767">
            <w:pPr>
              <w:rPr>
                <w:b/>
              </w:rPr>
            </w:pPr>
          </w:p>
        </w:tc>
      </w:tr>
      <w:tr w:rsidR="00085D75" w14:paraId="6AE986C5" w14:textId="77777777" w:rsidTr="00345119">
        <w:tc>
          <w:tcPr>
            <w:tcW w:w="9576" w:type="dxa"/>
          </w:tcPr>
          <w:p w14:paraId="6994A1B2" w14:textId="77777777" w:rsidR="006F636F" w:rsidRDefault="002C16E2" w:rsidP="0046276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060C10B2" w14:textId="77777777" w:rsidR="006F636F" w:rsidRDefault="006F636F" w:rsidP="00462767">
            <w:pPr>
              <w:jc w:val="both"/>
            </w:pPr>
          </w:p>
          <w:p w14:paraId="17E926C7" w14:textId="77777777" w:rsidR="006F636F" w:rsidRDefault="002C16E2" w:rsidP="00462767">
            <w:pPr>
              <w:jc w:val="both"/>
            </w:pPr>
            <w:r>
              <w:t xml:space="preserve">While </w:t>
            </w:r>
            <w:r>
              <w:t>C.S.H.B. 1802 may differ from the original in minor or nonsubstantive ways, the following summarizes the substantial differences between the introduced and committee substitute versions of the bill.</w:t>
            </w:r>
          </w:p>
          <w:p w14:paraId="668156EA" w14:textId="77777777" w:rsidR="00CA3BEC" w:rsidRDefault="00CA3BEC" w:rsidP="00462767">
            <w:pPr>
              <w:jc w:val="both"/>
            </w:pPr>
          </w:p>
          <w:p w14:paraId="0AF038CF" w14:textId="77777777" w:rsidR="00CA3BEC" w:rsidRDefault="002C16E2" w:rsidP="00462767">
            <w:pPr>
              <w:jc w:val="both"/>
            </w:pPr>
            <w:r>
              <w:t xml:space="preserve">With respect to the entities that </w:t>
            </w:r>
            <w:r w:rsidR="00247271">
              <w:t xml:space="preserve">are involved in </w:t>
            </w:r>
            <w:r>
              <w:t>conduc</w:t>
            </w:r>
            <w:r>
              <w:t>t</w:t>
            </w:r>
            <w:r w:rsidR="00247271">
              <w:t>ing</w:t>
            </w:r>
            <w:r>
              <w:t xml:space="preserve"> the study, the substitute makes the following changes:</w:t>
            </w:r>
          </w:p>
          <w:p w14:paraId="3CC022F5" w14:textId="783F18F0" w:rsidR="00247271" w:rsidRDefault="002C16E2" w:rsidP="00462767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</w:pPr>
            <w:r>
              <w:t>replaces the Department of State Health Services</w:t>
            </w:r>
            <w:r w:rsidR="00BB4F78">
              <w:t xml:space="preserve"> (DSHS)</w:t>
            </w:r>
            <w:r>
              <w:t xml:space="preserve"> with </w:t>
            </w:r>
            <w:r w:rsidR="00575BA7">
              <w:t xml:space="preserve">HHSC </w:t>
            </w:r>
            <w:r>
              <w:t>as the state agency that conducts the study;</w:t>
            </w:r>
          </w:p>
          <w:p w14:paraId="3209EEF7" w14:textId="77777777" w:rsidR="00247271" w:rsidRDefault="002C16E2" w:rsidP="00462767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</w:pPr>
            <w:r>
              <w:t xml:space="preserve">replaces the </w:t>
            </w:r>
            <w:r w:rsidR="00575BA7">
              <w:t xml:space="preserve">Texas Medical Board with the Baylor College of Medicine as the state agency with whom HHSC collaborates in the conducting the study; </w:t>
            </w:r>
            <w:r w:rsidR="00CB220D">
              <w:t>and</w:t>
            </w:r>
          </w:p>
          <w:p w14:paraId="42214B07" w14:textId="2836B659" w:rsidR="00CA3BEC" w:rsidRDefault="002C16E2" w:rsidP="00462767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</w:pPr>
            <w:r>
              <w:t>includes a requirement not in the original for</w:t>
            </w:r>
            <w:r w:rsidR="00247271">
              <w:t xml:space="preserve"> the study to be conducted in partnership with a military veterans hospital or a medical center that provides medical care to veterans. </w:t>
            </w:r>
            <w:r>
              <w:t xml:space="preserve">  </w:t>
            </w:r>
          </w:p>
          <w:p w14:paraId="12482875" w14:textId="77777777" w:rsidR="00575BA7" w:rsidRDefault="00575BA7" w:rsidP="00462767">
            <w:pPr>
              <w:jc w:val="both"/>
            </w:pPr>
          </w:p>
          <w:p w14:paraId="425CFF51" w14:textId="2D6BD6EA" w:rsidR="003D3704" w:rsidRDefault="002C16E2" w:rsidP="00462767">
            <w:pPr>
              <w:jc w:val="both"/>
            </w:pPr>
            <w:r>
              <w:t xml:space="preserve">The substitute </w:t>
            </w:r>
            <w:r w:rsidR="00545838">
              <w:t xml:space="preserve">changes the scope of the study from the original specification of </w:t>
            </w:r>
            <w:r>
              <w:t xml:space="preserve">the treatment of mental health </w:t>
            </w:r>
            <w:r w:rsidR="00545838">
              <w:t xml:space="preserve">and other medical conditions, including </w:t>
            </w:r>
            <w:r w:rsidR="0034774B">
              <w:t>post-traumatic stress disorder and five other</w:t>
            </w:r>
            <w:r w:rsidR="00545838">
              <w:t xml:space="preserve"> specified conditions, to</w:t>
            </w:r>
            <w:r>
              <w:t xml:space="preserve"> the treatment of </w:t>
            </w:r>
            <w:r w:rsidR="0034774B">
              <w:t>post-traumatic stress disorder</w:t>
            </w:r>
            <w:r w:rsidR="003F60E6">
              <w:t xml:space="preserve"> </w:t>
            </w:r>
            <w:r>
              <w:t>in veterans.</w:t>
            </w:r>
          </w:p>
          <w:p w14:paraId="04BB9721" w14:textId="77777777" w:rsidR="003D3704" w:rsidRDefault="003D3704" w:rsidP="00462767">
            <w:pPr>
              <w:jc w:val="both"/>
            </w:pPr>
          </w:p>
          <w:p w14:paraId="2BA17227" w14:textId="17832FE8" w:rsidR="00D04980" w:rsidRDefault="002C16E2" w:rsidP="00462767">
            <w:pPr>
              <w:jc w:val="both"/>
            </w:pPr>
            <w:r>
              <w:t xml:space="preserve">Instead of requiring </w:t>
            </w:r>
            <w:r w:rsidR="00F55014">
              <w:t>a comparison of</w:t>
            </w:r>
            <w:r>
              <w:t xml:space="preserve"> the efficacy of alternative therapies </w:t>
            </w:r>
            <w:r w:rsidR="00F55014">
              <w:t xml:space="preserve">and </w:t>
            </w:r>
            <w:r>
              <w:t>the efficacy of current treatments, as in the original, the substitute requires the</w:t>
            </w:r>
            <w:r w:rsidR="00BB4F78">
              <w:t xml:space="preserve"> perform</w:t>
            </w:r>
            <w:r>
              <w:t>ance</w:t>
            </w:r>
            <w:r w:rsidR="00BB4F78">
              <w:t xml:space="preserve"> </w:t>
            </w:r>
            <w:r>
              <w:t xml:space="preserve">of a particular </w:t>
            </w:r>
            <w:r w:rsidR="00BB4F78">
              <w:t>clinical trial</w:t>
            </w:r>
            <w:r>
              <w:t xml:space="preserve"> and </w:t>
            </w:r>
            <w:r w:rsidR="00F55014">
              <w:t>requires a certain</w:t>
            </w:r>
            <w:r>
              <w:t xml:space="preserve"> </w:t>
            </w:r>
            <w:r w:rsidR="00BB4F78">
              <w:t xml:space="preserve">review. </w:t>
            </w:r>
          </w:p>
          <w:p w14:paraId="6BA51F9A" w14:textId="77777777" w:rsidR="00BB4F78" w:rsidRDefault="00BB4F78" w:rsidP="00462767">
            <w:pPr>
              <w:jc w:val="both"/>
            </w:pPr>
          </w:p>
          <w:p w14:paraId="38BA4431" w14:textId="634DB0CD" w:rsidR="00BB4F78" w:rsidRDefault="002C16E2" w:rsidP="00462767">
            <w:pPr>
              <w:jc w:val="both"/>
            </w:pPr>
            <w:r>
              <w:t xml:space="preserve">The substitute includes a quarterly reporting requirement on the progress of the study, which was not in the original. </w:t>
            </w:r>
            <w:r w:rsidR="00CB220D">
              <w:t xml:space="preserve">The substitute </w:t>
            </w:r>
            <w:r w:rsidR="0034774B">
              <w:t>includes a provision not in the original regarding the protection of personal health information.</w:t>
            </w:r>
          </w:p>
          <w:p w14:paraId="5CD6DF58" w14:textId="77777777" w:rsidR="00BB4F78" w:rsidRDefault="00BB4F78" w:rsidP="00462767">
            <w:pPr>
              <w:jc w:val="both"/>
            </w:pPr>
          </w:p>
          <w:p w14:paraId="3A43211D" w14:textId="16D82E19" w:rsidR="00BB4F78" w:rsidRDefault="002C16E2" w:rsidP="00462767">
            <w:pPr>
              <w:jc w:val="both"/>
            </w:pPr>
            <w:r>
              <w:t>The s</w:t>
            </w:r>
            <w:r>
              <w:t xml:space="preserve">ubstitute </w:t>
            </w:r>
            <w:r w:rsidR="00545838">
              <w:t xml:space="preserve">changes </w:t>
            </w:r>
            <w:r>
              <w:t xml:space="preserve">the deadline by which HHSC must submit its final report from not later than December 1, 2022, to not later than December 1, 2024, and </w:t>
            </w:r>
            <w:r w:rsidR="00545838">
              <w:t xml:space="preserve">changes </w:t>
            </w:r>
            <w:r>
              <w:t xml:space="preserve">the expiration of the bill's provisions from September 1, 2023, to September 1, 2025. </w:t>
            </w:r>
          </w:p>
          <w:p w14:paraId="3C5A2FD3" w14:textId="77777777" w:rsidR="006F636F" w:rsidRPr="006F636F" w:rsidRDefault="006F636F" w:rsidP="00462767">
            <w:pPr>
              <w:jc w:val="both"/>
            </w:pPr>
          </w:p>
        </w:tc>
      </w:tr>
      <w:tr w:rsidR="00085D75" w14:paraId="18DD09C5" w14:textId="77777777" w:rsidTr="00345119">
        <w:tc>
          <w:tcPr>
            <w:tcW w:w="9576" w:type="dxa"/>
          </w:tcPr>
          <w:p w14:paraId="1BE41A98" w14:textId="77777777" w:rsidR="006F636F" w:rsidRPr="009C1E9A" w:rsidRDefault="006F636F" w:rsidP="00462767">
            <w:pPr>
              <w:rPr>
                <w:b/>
                <w:u w:val="single"/>
              </w:rPr>
            </w:pPr>
          </w:p>
        </w:tc>
      </w:tr>
      <w:tr w:rsidR="00085D75" w14:paraId="2B904C36" w14:textId="77777777" w:rsidTr="00345119">
        <w:tc>
          <w:tcPr>
            <w:tcW w:w="9576" w:type="dxa"/>
          </w:tcPr>
          <w:p w14:paraId="72CC8828" w14:textId="77777777" w:rsidR="006F636F" w:rsidRPr="006F636F" w:rsidRDefault="006F636F" w:rsidP="00462767">
            <w:pPr>
              <w:jc w:val="both"/>
            </w:pPr>
          </w:p>
        </w:tc>
      </w:tr>
    </w:tbl>
    <w:p w14:paraId="59C879D3" w14:textId="77777777" w:rsidR="008423E4" w:rsidRPr="00BE0E75" w:rsidRDefault="008423E4" w:rsidP="00462767">
      <w:pPr>
        <w:jc w:val="both"/>
        <w:rPr>
          <w:rFonts w:ascii="Arial" w:hAnsi="Arial"/>
          <w:sz w:val="16"/>
          <w:szCs w:val="16"/>
        </w:rPr>
      </w:pPr>
    </w:p>
    <w:p w14:paraId="7AF6750E" w14:textId="77777777" w:rsidR="004108C3" w:rsidRPr="008423E4" w:rsidRDefault="004108C3" w:rsidP="00462767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B204B" w14:textId="77777777" w:rsidR="00000000" w:rsidRDefault="002C16E2">
      <w:r>
        <w:separator/>
      </w:r>
    </w:p>
  </w:endnote>
  <w:endnote w:type="continuationSeparator" w:id="0">
    <w:p w14:paraId="147E1523" w14:textId="77777777" w:rsidR="00000000" w:rsidRDefault="002C1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4F12F" w14:textId="77777777" w:rsidR="007D439C" w:rsidRDefault="007D43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85D75" w14:paraId="46AF5936" w14:textId="77777777" w:rsidTr="009C1E9A">
      <w:trPr>
        <w:cantSplit/>
      </w:trPr>
      <w:tc>
        <w:tcPr>
          <w:tcW w:w="0" w:type="pct"/>
        </w:tcPr>
        <w:p w14:paraId="0A9F27D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6C9180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BABE770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CDA892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6CD8D3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85D75" w14:paraId="7BE451AC" w14:textId="77777777" w:rsidTr="009C1E9A">
      <w:trPr>
        <w:cantSplit/>
      </w:trPr>
      <w:tc>
        <w:tcPr>
          <w:tcW w:w="0" w:type="pct"/>
        </w:tcPr>
        <w:p w14:paraId="4FFE4B8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9A53F61" w14:textId="77777777" w:rsidR="00EC379B" w:rsidRPr="009C1E9A" w:rsidRDefault="002C16E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22490</w:t>
          </w:r>
        </w:p>
      </w:tc>
      <w:tc>
        <w:tcPr>
          <w:tcW w:w="2453" w:type="pct"/>
        </w:tcPr>
        <w:p w14:paraId="037D604E" w14:textId="7178FF8B" w:rsidR="00EC379B" w:rsidRDefault="002C16E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155BF2">
            <w:t>21.117.1648</w:t>
          </w:r>
          <w:r>
            <w:fldChar w:fldCharType="end"/>
          </w:r>
        </w:p>
      </w:tc>
    </w:tr>
    <w:tr w:rsidR="00085D75" w14:paraId="6FC8D28B" w14:textId="77777777" w:rsidTr="009C1E9A">
      <w:trPr>
        <w:cantSplit/>
      </w:trPr>
      <w:tc>
        <w:tcPr>
          <w:tcW w:w="0" w:type="pct"/>
        </w:tcPr>
        <w:p w14:paraId="011E1C50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B30E108" w14:textId="77777777" w:rsidR="00EC379B" w:rsidRPr="009C1E9A" w:rsidRDefault="002C16E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19638</w:t>
          </w:r>
        </w:p>
      </w:tc>
      <w:tc>
        <w:tcPr>
          <w:tcW w:w="2453" w:type="pct"/>
        </w:tcPr>
        <w:p w14:paraId="1D35E40C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77A743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85D75" w14:paraId="481C29AF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6420EAB" w14:textId="7403E6F9" w:rsidR="00EC379B" w:rsidRDefault="002C16E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462767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2F39667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B780B97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F13C1" w14:textId="77777777" w:rsidR="007D439C" w:rsidRDefault="007D43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0EE3A" w14:textId="77777777" w:rsidR="00000000" w:rsidRDefault="002C16E2">
      <w:r>
        <w:separator/>
      </w:r>
    </w:p>
  </w:footnote>
  <w:footnote w:type="continuationSeparator" w:id="0">
    <w:p w14:paraId="2E03A524" w14:textId="77777777" w:rsidR="00000000" w:rsidRDefault="002C1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67CF5" w14:textId="77777777" w:rsidR="007D439C" w:rsidRDefault="007D43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C05B2" w14:textId="77777777" w:rsidR="007D439C" w:rsidRDefault="007D43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BD096" w14:textId="77777777" w:rsidR="007D439C" w:rsidRDefault="007D43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5C5"/>
    <w:multiLevelType w:val="hybridMultilevel"/>
    <w:tmpl w:val="5AD4D90C"/>
    <w:lvl w:ilvl="0" w:tplc="72DA90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A86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342C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48F4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5E6E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FECA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C40D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661E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2A89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330D6"/>
    <w:multiLevelType w:val="hybridMultilevel"/>
    <w:tmpl w:val="A1BC1D1E"/>
    <w:lvl w:ilvl="0" w:tplc="7E4A42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A657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C25C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BE29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0E19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66E2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5AD6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BA29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66EB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D0707"/>
    <w:multiLevelType w:val="hybridMultilevel"/>
    <w:tmpl w:val="9AA8C4F4"/>
    <w:lvl w:ilvl="0" w:tplc="A70AD1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FC60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E61B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92E7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7419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440E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4EB8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6E3C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7E51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A7DB7"/>
    <w:multiLevelType w:val="hybridMultilevel"/>
    <w:tmpl w:val="4A6A5828"/>
    <w:lvl w:ilvl="0" w:tplc="4BB26A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4A71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D0C0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A2C8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8A58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408D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5C0F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C077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0CF0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36F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5D75"/>
    <w:rsid w:val="000907E3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5BF2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271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6E2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74B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144"/>
    <w:rsid w:val="003C36FD"/>
    <w:rsid w:val="003C664C"/>
    <w:rsid w:val="003D3704"/>
    <w:rsid w:val="003D726D"/>
    <w:rsid w:val="003E0875"/>
    <w:rsid w:val="003E0BB8"/>
    <w:rsid w:val="003E6CB0"/>
    <w:rsid w:val="003F1F5E"/>
    <w:rsid w:val="003F286A"/>
    <w:rsid w:val="003F60E6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767"/>
    <w:rsid w:val="00462B3D"/>
    <w:rsid w:val="00470E39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B76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583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5BA7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178A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6F636F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508B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39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464A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05F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4F78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3BEC"/>
    <w:rsid w:val="00CA4CA0"/>
    <w:rsid w:val="00CA5E5E"/>
    <w:rsid w:val="00CA7D7B"/>
    <w:rsid w:val="00CB0131"/>
    <w:rsid w:val="00CB0AE4"/>
    <w:rsid w:val="00CB0C21"/>
    <w:rsid w:val="00CB0D1A"/>
    <w:rsid w:val="00CB220D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4980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2D63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751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5014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19B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1A1FA84-65CB-4AA4-8618-A3E9A504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F636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F63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636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63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636F"/>
    <w:rPr>
      <w:b/>
      <w:bCs/>
    </w:rPr>
  </w:style>
  <w:style w:type="paragraph" w:styleId="ListParagraph">
    <w:name w:val="List Paragraph"/>
    <w:basedOn w:val="Normal"/>
    <w:uiPriority w:val="34"/>
    <w:qFormat/>
    <w:rsid w:val="00575BA7"/>
    <w:pPr>
      <w:ind w:left="720"/>
      <w:contextualSpacing/>
    </w:pPr>
  </w:style>
  <w:style w:type="paragraph" w:styleId="Revision">
    <w:name w:val="Revision"/>
    <w:hidden/>
    <w:uiPriority w:val="99"/>
    <w:semiHidden/>
    <w:rsid w:val="00CB22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666</Words>
  <Characters>3850</Characters>
  <Application>Microsoft Office Word</Application>
  <DocSecurity>4</DocSecurity>
  <Lines>95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HB01802 (Committee Report (Substituted))</vt:lpstr>
    </vt:vector>
  </TitlesOfParts>
  <Company>State of Texas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22490</dc:subject>
  <dc:creator>State of Texas</dc:creator>
  <dc:description>HB 1802 by Dominguez-(H)Public Health (Substitute Document Number: 87R 19638)</dc:description>
  <cp:lastModifiedBy>Lauren Bustamante</cp:lastModifiedBy>
  <cp:revision>2</cp:revision>
  <cp:lastPrinted>2003-11-26T17:21:00Z</cp:lastPrinted>
  <dcterms:created xsi:type="dcterms:W3CDTF">2021-04-30T01:36:00Z</dcterms:created>
  <dcterms:modified xsi:type="dcterms:W3CDTF">2021-04-30T01:36:00Z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21.117.1648</vt:lpwstr>
  </property>
</Properties>
</file>