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3EB9" w14:paraId="4AE84B46" w14:textId="77777777" w:rsidTr="00345119">
        <w:tc>
          <w:tcPr>
            <w:tcW w:w="9576" w:type="dxa"/>
            <w:noWrap/>
          </w:tcPr>
          <w:p w14:paraId="32323356" w14:textId="77777777" w:rsidR="008423E4" w:rsidRPr="0022177D" w:rsidRDefault="00D87E03" w:rsidP="003559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9C9EE3" w14:textId="77777777" w:rsidR="008423E4" w:rsidRPr="0022177D" w:rsidRDefault="008423E4" w:rsidP="0035597C">
      <w:pPr>
        <w:jc w:val="center"/>
      </w:pPr>
    </w:p>
    <w:p w14:paraId="2F8837DE" w14:textId="77777777" w:rsidR="008423E4" w:rsidRPr="00B31F0E" w:rsidRDefault="008423E4" w:rsidP="0035597C"/>
    <w:p w14:paraId="17D40B7B" w14:textId="77777777" w:rsidR="008423E4" w:rsidRPr="00742794" w:rsidRDefault="008423E4" w:rsidP="0035597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EB9" w14:paraId="0A017F78" w14:textId="77777777" w:rsidTr="00345119">
        <w:tc>
          <w:tcPr>
            <w:tcW w:w="9576" w:type="dxa"/>
          </w:tcPr>
          <w:p w14:paraId="3CC91A44" w14:textId="05A98FCA" w:rsidR="008423E4" w:rsidRPr="00861995" w:rsidRDefault="00D87E03" w:rsidP="0035597C">
            <w:pPr>
              <w:jc w:val="right"/>
            </w:pPr>
            <w:r>
              <w:t>C.S.H.B. 1837</w:t>
            </w:r>
          </w:p>
        </w:tc>
      </w:tr>
      <w:tr w:rsidR="005F3EB9" w14:paraId="396116BF" w14:textId="77777777" w:rsidTr="00345119">
        <w:tc>
          <w:tcPr>
            <w:tcW w:w="9576" w:type="dxa"/>
          </w:tcPr>
          <w:p w14:paraId="7683CD1F" w14:textId="28D422F3" w:rsidR="008423E4" w:rsidRPr="00861995" w:rsidRDefault="00D87E03" w:rsidP="0035597C">
            <w:pPr>
              <w:jc w:val="right"/>
            </w:pPr>
            <w:r>
              <w:t xml:space="preserve">By: </w:t>
            </w:r>
            <w:r w:rsidR="004963D6">
              <w:t>González, Mary</w:t>
            </w:r>
          </w:p>
        </w:tc>
      </w:tr>
      <w:tr w:rsidR="005F3EB9" w14:paraId="4607B892" w14:textId="77777777" w:rsidTr="00345119">
        <w:tc>
          <w:tcPr>
            <w:tcW w:w="9576" w:type="dxa"/>
          </w:tcPr>
          <w:p w14:paraId="5CB27A39" w14:textId="782A2AF9" w:rsidR="008423E4" w:rsidRPr="00861995" w:rsidRDefault="00D87E03" w:rsidP="0035597C">
            <w:pPr>
              <w:jc w:val="right"/>
            </w:pPr>
            <w:r>
              <w:t>Judiciary &amp; Civil Jurisprudence</w:t>
            </w:r>
          </w:p>
        </w:tc>
      </w:tr>
      <w:tr w:rsidR="005F3EB9" w14:paraId="138967D9" w14:textId="77777777" w:rsidTr="00345119">
        <w:tc>
          <w:tcPr>
            <w:tcW w:w="9576" w:type="dxa"/>
          </w:tcPr>
          <w:p w14:paraId="3140870A" w14:textId="1D537237" w:rsidR="008423E4" w:rsidRDefault="00D87E03" w:rsidP="0035597C">
            <w:pPr>
              <w:jc w:val="right"/>
            </w:pPr>
            <w:r>
              <w:t>Committee Report (Substituted)</w:t>
            </w:r>
          </w:p>
        </w:tc>
      </w:tr>
    </w:tbl>
    <w:p w14:paraId="1961A1D0" w14:textId="77777777" w:rsidR="008423E4" w:rsidRDefault="008423E4" w:rsidP="0035597C">
      <w:pPr>
        <w:tabs>
          <w:tab w:val="right" w:pos="9360"/>
        </w:tabs>
      </w:pPr>
    </w:p>
    <w:p w14:paraId="518961F5" w14:textId="77777777" w:rsidR="008423E4" w:rsidRDefault="008423E4" w:rsidP="0035597C"/>
    <w:p w14:paraId="1E7FD317" w14:textId="77777777" w:rsidR="008423E4" w:rsidRDefault="008423E4" w:rsidP="0035597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3EB9" w14:paraId="019E7181" w14:textId="77777777" w:rsidTr="00345119">
        <w:tc>
          <w:tcPr>
            <w:tcW w:w="9576" w:type="dxa"/>
          </w:tcPr>
          <w:p w14:paraId="28D1E017" w14:textId="77777777" w:rsidR="008423E4" w:rsidRPr="00A8133F" w:rsidRDefault="00D87E03" w:rsidP="003559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8E97D1" w14:textId="77777777" w:rsidR="008423E4" w:rsidRDefault="008423E4" w:rsidP="0035597C"/>
          <w:p w14:paraId="7762EF02" w14:textId="2DE72847" w:rsidR="008423E4" w:rsidRDefault="00D87E03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F24B8">
              <w:t xml:space="preserve">Concerns have been raised that motorcyclists continue to be profiled and subject to unnecessary traffic stops on the basis of wearing motorcycle-related or motorcycle club-related paraphernalia rather than on the </w:t>
            </w:r>
            <w:r w:rsidR="00E423ED" w:rsidRPr="00FF24B8">
              <w:t>individual</w:t>
            </w:r>
            <w:r w:rsidR="00E423ED">
              <w:t>'</w:t>
            </w:r>
            <w:r w:rsidR="00E423ED" w:rsidRPr="00FF24B8">
              <w:t xml:space="preserve">s </w:t>
            </w:r>
            <w:r w:rsidRPr="00FF24B8">
              <w:t>behavior or on information ide</w:t>
            </w:r>
            <w:r w:rsidRPr="00FF24B8">
              <w:t>ntifying the individual as having engaged in criminal activity. This</w:t>
            </w:r>
            <w:r w:rsidR="003445B7">
              <w:t xml:space="preserve"> is</w:t>
            </w:r>
            <w:r w:rsidRPr="00FF24B8">
              <w:t xml:space="preserve"> despite </w:t>
            </w:r>
            <w:r w:rsidR="003445B7">
              <w:t xml:space="preserve">required education </w:t>
            </w:r>
            <w:r w:rsidRPr="00FF24B8">
              <w:t xml:space="preserve">for law enforcement officers </w:t>
            </w:r>
            <w:r w:rsidR="003445B7">
              <w:t>on motorcycle operator profiling awareness and sensitivity training.</w:t>
            </w:r>
            <w:r w:rsidR="0092407C">
              <w:t xml:space="preserve"> </w:t>
            </w:r>
            <w:r w:rsidRPr="00FF24B8">
              <w:t xml:space="preserve">C.S.H.B. 1837 </w:t>
            </w:r>
            <w:r w:rsidR="003445B7">
              <w:t xml:space="preserve">addresses these concerns by specifically </w:t>
            </w:r>
            <w:r w:rsidRPr="00FF24B8">
              <w:t>proh</w:t>
            </w:r>
            <w:r w:rsidRPr="00FF24B8">
              <w:t>ibit</w:t>
            </w:r>
            <w:r w:rsidR="003445B7">
              <w:t>ing</w:t>
            </w:r>
            <w:r w:rsidRPr="00FF24B8">
              <w:t xml:space="preserve"> motorcycle profiling by law enforcement officers and requir</w:t>
            </w:r>
            <w:r w:rsidR="003445B7">
              <w:t>ing</w:t>
            </w:r>
            <w:r w:rsidRPr="00FF24B8">
              <w:t xml:space="preserve"> law enforcement agencies to adopt policies for citizen complaint, investigation, and disciplinary action in cases where violations are found.</w:t>
            </w:r>
          </w:p>
          <w:p w14:paraId="297827DF" w14:textId="77777777" w:rsidR="008423E4" w:rsidRPr="00E26B13" w:rsidRDefault="008423E4" w:rsidP="0035597C">
            <w:pPr>
              <w:rPr>
                <w:b/>
              </w:rPr>
            </w:pPr>
          </w:p>
        </w:tc>
      </w:tr>
      <w:tr w:rsidR="005F3EB9" w14:paraId="3838A30A" w14:textId="77777777" w:rsidTr="00345119">
        <w:tc>
          <w:tcPr>
            <w:tcW w:w="9576" w:type="dxa"/>
          </w:tcPr>
          <w:p w14:paraId="36750D06" w14:textId="77777777" w:rsidR="0017725B" w:rsidRDefault="00D87E03" w:rsidP="003559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816AA2" w14:textId="77777777" w:rsidR="0017725B" w:rsidRDefault="0017725B" w:rsidP="0035597C">
            <w:pPr>
              <w:rPr>
                <w:b/>
                <w:u w:val="single"/>
              </w:rPr>
            </w:pPr>
          </w:p>
          <w:p w14:paraId="57D3F2DB" w14:textId="1D9A02EE" w:rsidR="00B35F13" w:rsidRPr="00B35F13" w:rsidRDefault="00D87E03" w:rsidP="0035597C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D78A402" w14:textId="77777777" w:rsidR="0017725B" w:rsidRPr="0017725B" w:rsidRDefault="0017725B" w:rsidP="0035597C">
            <w:pPr>
              <w:rPr>
                <w:b/>
                <w:u w:val="single"/>
              </w:rPr>
            </w:pPr>
          </w:p>
        </w:tc>
      </w:tr>
      <w:tr w:rsidR="005F3EB9" w14:paraId="53498283" w14:textId="77777777" w:rsidTr="00345119">
        <w:tc>
          <w:tcPr>
            <w:tcW w:w="9576" w:type="dxa"/>
          </w:tcPr>
          <w:p w14:paraId="6FD386F4" w14:textId="77777777" w:rsidR="008423E4" w:rsidRPr="00A8133F" w:rsidRDefault="00D87E03" w:rsidP="003559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ED340E" w14:textId="77777777" w:rsidR="008423E4" w:rsidRDefault="008423E4" w:rsidP="0035597C"/>
          <w:p w14:paraId="63E785C8" w14:textId="5FB90117" w:rsidR="00B35F13" w:rsidRDefault="00D87E03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0FAC15" w14:textId="77777777" w:rsidR="008423E4" w:rsidRPr="00E21FDC" w:rsidRDefault="008423E4" w:rsidP="0035597C">
            <w:pPr>
              <w:rPr>
                <w:b/>
              </w:rPr>
            </w:pPr>
          </w:p>
        </w:tc>
      </w:tr>
      <w:tr w:rsidR="005F3EB9" w14:paraId="7AFEC2BE" w14:textId="77777777" w:rsidTr="00345119">
        <w:tc>
          <w:tcPr>
            <w:tcW w:w="9576" w:type="dxa"/>
          </w:tcPr>
          <w:p w14:paraId="4620B02F" w14:textId="77777777" w:rsidR="008423E4" w:rsidRPr="00A8133F" w:rsidRDefault="00D87E03" w:rsidP="003559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13D7AF" w14:textId="77777777" w:rsidR="008423E4" w:rsidRDefault="008423E4" w:rsidP="0035597C"/>
          <w:p w14:paraId="674641E4" w14:textId="0F35B9F2" w:rsidR="009C36CD" w:rsidRDefault="00D87E03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F0FE7">
              <w:t xml:space="preserve">H.B. </w:t>
            </w:r>
            <w:r w:rsidR="0062186B">
              <w:t>18</w:t>
            </w:r>
            <w:r w:rsidR="006C26B1">
              <w:t>37</w:t>
            </w:r>
            <w:r w:rsidR="0062186B">
              <w:t xml:space="preserve"> amends the Code of Criminal Procedure to prohibit a </w:t>
            </w:r>
            <w:r w:rsidR="0062186B" w:rsidRPr="0062186B">
              <w:t xml:space="preserve">peace officer </w:t>
            </w:r>
            <w:r w:rsidR="0062186B">
              <w:t>from engaging in motorcycle profiling, defined by the bill as</w:t>
            </w:r>
            <w:r w:rsidR="007F3EF4">
              <w:t xml:space="preserve"> a</w:t>
            </w:r>
            <w:r w:rsidR="0062186B">
              <w:t xml:space="preserve"> </w:t>
            </w:r>
            <w:r w:rsidR="0062186B" w:rsidRPr="0062186B">
              <w:t>law enforcement-initiated action based</w:t>
            </w:r>
            <w:r>
              <w:t xml:space="preserve"> wholly</w:t>
            </w:r>
            <w:r w:rsidR="0062186B" w:rsidRPr="0062186B">
              <w:t xml:space="preserve"> or </w:t>
            </w:r>
            <w:r>
              <w:t>partially</w:t>
            </w:r>
            <w:r w:rsidR="0062186B" w:rsidRPr="0062186B">
              <w:t xml:space="preserve"> on an individual operating a motorcycle or wearing motorcycle-related or motorcycle club-related paraphernalia rather than on the individual's behavior or on information identifying the individual as having engaged in criminal activity</w:t>
            </w:r>
            <w:r w:rsidR="00465B4B">
              <w:t>, including</w:t>
            </w:r>
            <w:r w:rsidRPr="00FF24B8">
              <w:t xml:space="preserve"> a motor vehicle stop that is made with respect to an individual operating a</w:t>
            </w:r>
            <w:r w:rsidRPr="00FF24B8">
              <w:t xml:space="preserve"> motorcycle and that the officer extends beyond the period necessary to effectuate the purpose of the stop.</w:t>
            </w:r>
          </w:p>
          <w:p w14:paraId="0D5AC8A2" w14:textId="3C150F9C" w:rsidR="0062186B" w:rsidRDefault="0062186B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C91080" w14:textId="5CE06A3A" w:rsidR="00FF24B8" w:rsidRDefault="00D87E03" w:rsidP="0035597C">
            <w:pPr>
              <w:pStyle w:val="Header"/>
              <w:jc w:val="both"/>
            </w:pPr>
            <w:r>
              <w:t>C.S.H.B. 18</w:t>
            </w:r>
            <w:r w:rsidR="006C26B1">
              <w:t>3</w:t>
            </w:r>
            <w:r>
              <w:t>7 requires each law enforcement agency in Texas</w:t>
            </w:r>
            <w:r w:rsidR="00727B1A">
              <w:t>,</w:t>
            </w:r>
            <w:r>
              <w:t xml:space="preserve"> </w:t>
            </w:r>
            <w:r w:rsidR="00727B1A">
              <w:t>n</w:t>
            </w:r>
            <w:r w:rsidR="00727B1A" w:rsidRPr="00727B1A">
              <w:t>ot later than December 1, 2021</w:t>
            </w:r>
            <w:r w:rsidR="00727B1A">
              <w:t xml:space="preserve">, </w:t>
            </w:r>
            <w:r>
              <w:t>to adopt a detailed written policy on motorcycle prof</w:t>
            </w:r>
            <w:r>
              <w:t xml:space="preserve">iling that must </w:t>
            </w:r>
            <w:r w:rsidR="00465B4B">
              <w:t xml:space="preserve">do </w:t>
            </w:r>
            <w:r>
              <w:t>the following:</w:t>
            </w:r>
          </w:p>
          <w:p w14:paraId="3219FEA4" w14:textId="0916E7D8" w:rsidR="00FF24B8" w:rsidRDefault="00D87E03" w:rsidP="0035597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clearly define acts constituting motorcycle profiling;</w:t>
            </w:r>
          </w:p>
          <w:p w14:paraId="2A4A9E70" w14:textId="6A8DF399" w:rsidR="00FF24B8" w:rsidRDefault="00D87E03" w:rsidP="0035597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strictly prohibit peace officers employed by the agency from engaging in motorcycle profiling;</w:t>
            </w:r>
          </w:p>
          <w:p w14:paraId="0BAD05C2" w14:textId="470EEE1A" w:rsidR="00FF24B8" w:rsidRDefault="00D87E03" w:rsidP="0035597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implement a process by which an individual may file a complaint with the</w:t>
            </w:r>
            <w:r>
              <w:t xml:space="preserve"> agency if the individual believes that a peace officer employed by the agency has engaged in motorcycle profiling with respect to the individual; and</w:t>
            </w:r>
          </w:p>
          <w:p w14:paraId="0F04B083" w14:textId="4988057B" w:rsidR="00FF24B8" w:rsidRDefault="00D87E03" w:rsidP="0035597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appropriate disciplinary action to be taken against an officer employed by the agency who, after </w:t>
            </w:r>
            <w:r>
              <w:t>an investigation, is shown to have engaged in motorcycle profiling in violation of the agency's policy.</w:t>
            </w:r>
          </w:p>
          <w:p w14:paraId="64516277" w14:textId="38332AFC" w:rsidR="007179D2" w:rsidRPr="009C36CD" w:rsidRDefault="007179D2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3B4CD1" w14:textId="71891A04" w:rsidR="008423E4" w:rsidRPr="00835628" w:rsidRDefault="00D87E03" w:rsidP="0035597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F3EB9" w14:paraId="71AFA2ED" w14:textId="77777777" w:rsidTr="00345119">
        <w:tc>
          <w:tcPr>
            <w:tcW w:w="9576" w:type="dxa"/>
          </w:tcPr>
          <w:p w14:paraId="1A81E48B" w14:textId="77777777" w:rsidR="008423E4" w:rsidRPr="00A8133F" w:rsidRDefault="00D87E03" w:rsidP="003559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29632B" w14:textId="77777777" w:rsidR="008423E4" w:rsidRDefault="008423E4" w:rsidP="0035597C"/>
          <w:p w14:paraId="42CE24B7" w14:textId="4619280C" w:rsidR="008423E4" w:rsidRPr="003624F2" w:rsidRDefault="00D87E03" w:rsidP="003559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634DE1" w14:textId="77777777" w:rsidR="008423E4" w:rsidRPr="00233FDB" w:rsidRDefault="008423E4" w:rsidP="0035597C">
            <w:pPr>
              <w:rPr>
                <w:b/>
              </w:rPr>
            </w:pPr>
          </w:p>
        </w:tc>
      </w:tr>
      <w:tr w:rsidR="005F3EB9" w14:paraId="742CDA4F" w14:textId="77777777" w:rsidTr="00345119">
        <w:tc>
          <w:tcPr>
            <w:tcW w:w="9576" w:type="dxa"/>
          </w:tcPr>
          <w:p w14:paraId="55D43D47" w14:textId="4981339E" w:rsidR="00727B1A" w:rsidRPr="00817757" w:rsidRDefault="00D87E03" w:rsidP="003559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5D5F158" w14:textId="77777777" w:rsidR="0035597C" w:rsidRDefault="0035597C" w:rsidP="0035597C">
            <w:pPr>
              <w:jc w:val="both"/>
            </w:pPr>
          </w:p>
          <w:p w14:paraId="095B2156" w14:textId="3A5F51E8" w:rsidR="00727B1A" w:rsidRDefault="00D87E03" w:rsidP="0035597C">
            <w:pPr>
              <w:jc w:val="both"/>
            </w:pPr>
            <w:r>
              <w:t xml:space="preserve">While C.S.H.B. 1837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125D1E2E" w14:textId="2CE8321B" w:rsidR="00727B1A" w:rsidRDefault="00727B1A" w:rsidP="0035597C">
            <w:pPr>
              <w:jc w:val="both"/>
            </w:pPr>
          </w:p>
          <w:p w14:paraId="62D71125" w14:textId="1E04D533" w:rsidR="00727B1A" w:rsidRDefault="00D87E03" w:rsidP="0035597C">
            <w:pPr>
              <w:jc w:val="both"/>
            </w:pPr>
            <w:r>
              <w:t>The substitute incl</w:t>
            </w:r>
            <w:r w:rsidR="00D40958">
              <w:t xml:space="preserve">udes </w:t>
            </w:r>
            <w:r w:rsidR="00D616CC">
              <w:t xml:space="preserve">the following </w:t>
            </w:r>
            <w:r w:rsidR="00D40958">
              <w:t>provisions that were not in the original:</w:t>
            </w:r>
          </w:p>
          <w:p w14:paraId="7EBA9902" w14:textId="3A73BC3A" w:rsidR="00D40958" w:rsidRDefault="00D87E03" w:rsidP="0035597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a provision establishing that m</w:t>
            </w:r>
            <w:r>
              <w:t>otorcycle profiling</w:t>
            </w:r>
            <w:r w:rsidRPr="00D40958">
              <w:t xml:space="preserve"> includes a motor vehicle stop that is made with respect to an individual operating a motorcycle and that the officer extends beyond the period necessary to eff</w:t>
            </w:r>
            <w:r>
              <w:t>ectuate the purpose of the stop;</w:t>
            </w:r>
            <w:r w:rsidR="00817757">
              <w:t xml:space="preserve"> and</w:t>
            </w:r>
          </w:p>
          <w:p w14:paraId="7CFE9D1C" w14:textId="7D77EFB9" w:rsidR="00D40958" w:rsidRDefault="00D87E03" w:rsidP="0035597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 requirement for </w:t>
            </w:r>
            <w:r w:rsidRPr="00D40958">
              <w:t>each law enforcement a</w:t>
            </w:r>
            <w:r w:rsidRPr="00D40958">
              <w:t>gency in Texas to adopt a poli</w:t>
            </w:r>
            <w:r>
              <w:t>cy on motorcycle pro</w:t>
            </w:r>
            <w:r w:rsidR="00817757">
              <w:t>filing</w:t>
            </w:r>
            <w:r w:rsidR="00D71E63" w:rsidRPr="00D40958">
              <w:t xml:space="preserve"> not later than December 1, 2021</w:t>
            </w:r>
            <w:r w:rsidR="00817757">
              <w:t>.</w:t>
            </w:r>
          </w:p>
          <w:p w14:paraId="0F84AB33" w14:textId="77777777" w:rsidR="00817757" w:rsidRDefault="00817757" w:rsidP="0035597C">
            <w:pPr>
              <w:pStyle w:val="ListParagraph"/>
              <w:contextualSpacing w:val="0"/>
              <w:jc w:val="both"/>
            </w:pPr>
          </w:p>
          <w:p w14:paraId="4F645BF8" w14:textId="1C9C7AB1" w:rsidR="00817757" w:rsidRDefault="00D87E03" w:rsidP="0035597C">
            <w:pPr>
              <w:jc w:val="both"/>
            </w:pPr>
            <w:r>
              <w:t xml:space="preserve">The substitute does not include provisions </w:t>
            </w:r>
            <w:r w:rsidR="003445B7">
              <w:t xml:space="preserve">that appeared in </w:t>
            </w:r>
            <w:r>
              <w:t xml:space="preserve">the original </w:t>
            </w:r>
            <w:r w:rsidRPr="00817757">
              <w:t>authoriz</w:t>
            </w:r>
            <w:r w:rsidR="003445B7">
              <w:t>ing</w:t>
            </w:r>
            <w:r w:rsidRPr="00817757">
              <w:t xml:space="preserve"> an individual </w:t>
            </w:r>
            <w:r>
              <w:t>against whom a peace officer had</w:t>
            </w:r>
            <w:r w:rsidRPr="00817757">
              <w:t xml:space="preserve"> engaged in motorcycle profiling t</w:t>
            </w:r>
            <w:r w:rsidRPr="00817757">
              <w:t>o bring an action against the officer or the governme</w:t>
            </w:r>
            <w:r w:rsidR="00DB1132">
              <w:t>ntal unit employing the officer.</w:t>
            </w:r>
            <w:r>
              <w:t xml:space="preserve">  </w:t>
            </w:r>
          </w:p>
          <w:p w14:paraId="04A2CA05" w14:textId="14AF871C" w:rsidR="00727B1A" w:rsidRPr="00727B1A" w:rsidRDefault="00727B1A" w:rsidP="0035597C">
            <w:pPr>
              <w:jc w:val="both"/>
            </w:pPr>
          </w:p>
        </w:tc>
      </w:tr>
      <w:tr w:rsidR="005F3EB9" w14:paraId="54112DAE" w14:textId="77777777" w:rsidTr="00345119">
        <w:tc>
          <w:tcPr>
            <w:tcW w:w="9576" w:type="dxa"/>
          </w:tcPr>
          <w:p w14:paraId="45D33E7D" w14:textId="77777777" w:rsidR="004963D6" w:rsidRPr="009C1E9A" w:rsidRDefault="004963D6" w:rsidP="0035597C">
            <w:pPr>
              <w:rPr>
                <w:b/>
                <w:u w:val="single"/>
              </w:rPr>
            </w:pPr>
          </w:p>
        </w:tc>
      </w:tr>
      <w:tr w:rsidR="005F3EB9" w14:paraId="6050BB95" w14:textId="77777777" w:rsidTr="00345119">
        <w:tc>
          <w:tcPr>
            <w:tcW w:w="9576" w:type="dxa"/>
          </w:tcPr>
          <w:p w14:paraId="7648C23E" w14:textId="77777777" w:rsidR="004963D6" w:rsidRPr="004963D6" w:rsidRDefault="004963D6" w:rsidP="0035597C">
            <w:pPr>
              <w:jc w:val="both"/>
            </w:pPr>
          </w:p>
        </w:tc>
      </w:tr>
    </w:tbl>
    <w:p w14:paraId="7A0A5767" w14:textId="77777777" w:rsidR="008423E4" w:rsidRPr="00BE0E75" w:rsidRDefault="008423E4" w:rsidP="0035597C">
      <w:pPr>
        <w:jc w:val="both"/>
        <w:rPr>
          <w:rFonts w:ascii="Arial" w:hAnsi="Arial"/>
          <w:sz w:val="16"/>
          <w:szCs w:val="16"/>
        </w:rPr>
      </w:pPr>
    </w:p>
    <w:p w14:paraId="79C80D9D" w14:textId="77777777" w:rsidR="004108C3" w:rsidRPr="008423E4" w:rsidRDefault="004108C3" w:rsidP="0035597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1DCE" w14:textId="77777777" w:rsidR="00000000" w:rsidRDefault="00D87E03">
      <w:r>
        <w:separator/>
      </w:r>
    </w:p>
  </w:endnote>
  <w:endnote w:type="continuationSeparator" w:id="0">
    <w:p w14:paraId="4D174924" w14:textId="77777777" w:rsidR="00000000" w:rsidRDefault="00D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35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EB9" w14:paraId="100B92B0" w14:textId="77777777" w:rsidTr="009C1E9A">
      <w:trPr>
        <w:cantSplit/>
      </w:trPr>
      <w:tc>
        <w:tcPr>
          <w:tcW w:w="0" w:type="pct"/>
        </w:tcPr>
        <w:p w14:paraId="4FC519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08C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CF043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E210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AC03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EB9" w14:paraId="136EA1EB" w14:textId="77777777" w:rsidTr="009C1E9A">
      <w:trPr>
        <w:cantSplit/>
      </w:trPr>
      <w:tc>
        <w:tcPr>
          <w:tcW w:w="0" w:type="pct"/>
        </w:tcPr>
        <w:p w14:paraId="27071E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2E3B1C" w14:textId="14875AC9" w:rsidR="00EC379B" w:rsidRPr="009C1E9A" w:rsidRDefault="00D87E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25167</w:t>
          </w:r>
        </w:p>
      </w:tc>
      <w:tc>
        <w:tcPr>
          <w:tcW w:w="2453" w:type="pct"/>
        </w:tcPr>
        <w:p w14:paraId="239E855A" w14:textId="1B2B3E86" w:rsidR="00EC379B" w:rsidRDefault="00D87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5C11">
            <w:t>21.126.1987</w:t>
          </w:r>
          <w:r>
            <w:fldChar w:fldCharType="end"/>
          </w:r>
        </w:p>
      </w:tc>
    </w:tr>
    <w:tr w:rsidR="005F3EB9" w14:paraId="0FFE10DB" w14:textId="77777777" w:rsidTr="009C1E9A">
      <w:trPr>
        <w:cantSplit/>
      </w:trPr>
      <w:tc>
        <w:tcPr>
          <w:tcW w:w="0" w:type="pct"/>
        </w:tcPr>
        <w:p w14:paraId="16466E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FC36A4" w14:textId="52CC4537" w:rsidR="00EC379B" w:rsidRPr="009C1E9A" w:rsidRDefault="00D87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18188</w:t>
          </w:r>
        </w:p>
      </w:tc>
      <w:tc>
        <w:tcPr>
          <w:tcW w:w="2453" w:type="pct"/>
        </w:tcPr>
        <w:p w14:paraId="34C90A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941B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EB9" w14:paraId="366766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D9690B" w14:textId="592C04A1" w:rsidR="00EC379B" w:rsidRDefault="00D87E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597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F9F89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DD92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489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41D2" w14:textId="77777777" w:rsidR="00000000" w:rsidRDefault="00D87E03">
      <w:r>
        <w:separator/>
      </w:r>
    </w:p>
  </w:footnote>
  <w:footnote w:type="continuationSeparator" w:id="0">
    <w:p w14:paraId="484CCAC9" w14:textId="77777777" w:rsidR="00000000" w:rsidRDefault="00D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E15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801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125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75A"/>
    <w:multiLevelType w:val="hybridMultilevel"/>
    <w:tmpl w:val="81A63CD6"/>
    <w:lvl w:ilvl="0" w:tplc="F4227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C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64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CA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88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47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EA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6B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20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DCF"/>
    <w:multiLevelType w:val="hybridMultilevel"/>
    <w:tmpl w:val="A00EE136"/>
    <w:lvl w:ilvl="0" w:tplc="0A941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08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00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0C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28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E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2D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C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48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24F4"/>
    <w:multiLevelType w:val="hybridMultilevel"/>
    <w:tmpl w:val="D6B43060"/>
    <w:lvl w:ilvl="0" w:tplc="089A5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0B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AD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E1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6A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6D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23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C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6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503D7"/>
    <w:multiLevelType w:val="hybridMultilevel"/>
    <w:tmpl w:val="DF4E3A8C"/>
    <w:lvl w:ilvl="0" w:tplc="4D62F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6E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69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27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2B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4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C9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42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1D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38E"/>
    <w:rsid w:val="0020775D"/>
    <w:rsid w:val="002116DD"/>
    <w:rsid w:val="0021383D"/>
    <w:rsid w:val="00215C11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7AE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31F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590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40C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5B7"/>
    <w:rsid w:val="003446DC"/>
    <w:rsid w:val="00347B4A"/>
    <w:rsid w:val="003500C3"/>
    <w:rsid w:val="003523BD"/>
    <w:rsid w:val="00352681"/>
    <w:rsid w:val="003536AA"/>
    <w:rsid w:val="003544CE"/>
    <w:rsid w:val="0035597C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B4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3D6"/>
    <w:rsid w:val="0049682B"/>
    <w:rsid w:val="004A03F7"/>
    <w:rsid w:val="004A081C"/>
    <w:rsid w:val="004A123F"/>
    <w:rsid w:val="004A2172"/>
    <w:rsid w:val="004A3F3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FE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335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EB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86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6B1"/>
    <w:rsid w:val="006C4709"/>
    <w:rsid w:val="006C61E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9D2"/>
    <w:rsid w:val="00717DE4"/>
    <w:rsid w:val="00721724"/>
    <w:rsid w:val="00722EC5"/>
    <w:rsid w:val="00723326"/>
    <w:rsid w:val="00724252"/>
    <w:rsid w:val="00727B1A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EF4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757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057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07C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4FBA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70E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B0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F1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28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B61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2EB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6DA"/>
    <w:rsid w:val="00D33145"/>
    <w:rsid w:val="00D35728"/>
    <w:rsid w:val="00D37BCF"/>
    <w:rsid w:val="00D40958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6CC"/>
    <w:rsid w:val="00D61784"/>
    <w:rsid w:val="00D6178A"/>
    <w:rsid w:val="00D63B53"/>
    <w:rsid w:val="00D64B88"/>
    <w:rsid w:val="00D64DC5"/>
    <w:rsid w:val="00D66BA6"/>
    <w:rsid w:val="00D700B1"/>
    <w:rsid w:val="00D71E63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E0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13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3ED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0A8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EAD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4B8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510F1-720B-41D3-A9D9-C8B29E8F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18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8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86B"/>
    <w:rPr>
      <w:b/>
      <w:bCs/>
    </w:rPr>
  </w:style>
  <w:style w:type="character" w:styleId="Hyperlink">
    <w:name w:val="Hyperlink"/>
    <w:basedOn w:val="DefaultParagraphFont"/>
    <w:unhideWhenUsed/>
    <w:rsid w:val="00234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B1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3188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HB01837 (Committee Report (Substituted))</vt:lpstr>
    </vt:vector>
  </TitlesOfParts>
  <Company>State of Texas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25167</dc:subject>
  <dc:creator>State of Texas</dc:creator>
  <dc:description>HB 1837 by González, Mary-(H)Judiciary &amp; Civil Jurisprudence (Substitute Document Number: 87R 18188)</dc:description>
  <cp:lastModifiedBy>Thomas Weis</cp:lastModifiedBy>
  <cp:revision>2</cp:revision>
  <cp:lastPrinted>2003-11-26T17:21:00Z</cp:lastPrinted>
  <dcterms:created xsi:type="dcterms:W3CDTF">2021-05-07T18:34:00Z</dcterms:created>
  <dcterms:modified xsi:type="dcterms:W3CDTF">2021-05-07T18:34:00Z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21.126.1987</vt:lpwstr>
  </property>
</Properties>
</file>