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C3A3B" w14:paraId="2048975A" w14:textId="77777777" w:rsidTr="00345119">
        <w:tc>
          <w:tcPr>
            <w:tcW w:w="9576" w:type="dxa"/>
            <w:noWrap/>
          </w:tcPr>
          <w:p w14:paraId="797BDFE0" w14:textId="77777777" w:rsidR="008423E4" w:rsidRPr="0022177D" w:rsidRDefault="00DF39F9" w:rsidP="00AB60D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BE31EA8" w14:textId="77777777" w:rsidR="008423E4" w:rsidRPr="0022177D" w:rsidRDefault="008423E4" w:rsidP="00AB60D9">
      <w:pPr>
        <w:jc w:val="center"/>
      </w:pPr>
    </w:p>
    <w:p w14:paraId="731BC707" w14:textId="77777777" w:rsidR="008423E4" w:rsidRPr="00B31F0E" w:rsidRDefault="008423E4" w:rsidP="00AB60D9"/>
    <w:p w14:paraId="0BAF59FF" w14:textId="77777777" w:rsidR="008423E4" w:rsidRPr="00742794" w:rsidRDefault="008423E4" w:rsidP="00AB60D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C3A3B" w14:paraId="150CBD6F" w14:textId="77777777" w:rsidTr="00345119">
        <w:tc>
          <w:tcPr>
            <w:tcW w:w="9576" w:type="dxa"/>
          </w:tcPr>
          <w:p w14:paraId="611C4841" w14:textId="26B0888D" w:rsidR="008423E4" w:rsidRPr="00861995" w:rsidRDefault="00DF39F9" w:rsidP="00AB60D9">
            <w:pPr>
              <w:jc w:val="right"/>
            </w:pPr>
            <w:r>
              <w:t>C.S.H.B. 1838</w:t>
            </w:r>
          </w:p>
        </w:tc>
      </w:tr>
      <w:tr w:rsidR="009C3A3B" w14:paraId="404E57E8" w14:textId="77777777" w:rsidTr="00345119">
        <w:tc>
          <w:tcPr>
            <w:tcW w:w="9576" w:type="dxa"/>
          </w:tcPr>
          <w:p w14:paraId="24CBFA4E" w14:textId="7B886804" w:rsidR="008423E4" w:rsidRPr="00861995" w:rsidRDefault="00DF39F9" w:rsidP="00AB60D9">
            <w:pPr>
              <w:jc w:val="right"/>
            </w:pPr>
            <w:r>
              <w:t xml:space="preserve">By: </w:t>
            </w:r>
            <w:r w:rsidR="00F93BB1">
              <w:t>González, Mary</w:t>
            </w:r>
          </w:p>
        </w:tc>
      </w:tr>
      <w:tr w:rsidR="009C3A3B" w14:paraId="464D9170" w14:textId="77777777" w:rsidTr="00345119">
        <w:tc>
          <w:tcPr>
            <w:tcW w:w="9576" w:type="dxa"/>
          </w:tcPr>
          <w:p w14:paraId="188F2365" w14:textId="061174D3" w:rsidR="008423E4" w:rsidRPr="00861995" w:rsidRDefault="00DF39F9" w:rsidP="00AB60D9">
            <w:pPr>
              <w:jc w:val="right"/>
            </w:pPr>
            <w:r>
              <w:t>Homeland Security &amp; Public Safety</w:t>
            </w:r>
          </w:p>
        </w:tc>
      </w:tr>
      <w:tr w:rsidR="009C3A3B" w14:paraId="01B3B668" w14:textId="77777777" w:rsidTr="00345119">
        <w:tc>
          <w:tcPr>
            <w:tcW w:w="9576" w:type="dxa"/>
          </w:tcPr>
          <w:p w14:paraId="28D154EC" w14:textId="003F7701" w:rsidR="008423E4" w:rsidRDefault="00DF39F9" w:rsidP="00AB60D9">
            <w:pPr>
              <w:jc w:val="right"/>
            </w:pPr>
            <w:r>
              <w:t>Committee Report (Substituted)</w:t>
            </w:r>
          </w:p>
        </w:tc>
      </w:tr>
    </w:tbl>
    <w:p w14:paraId="666970FF" w14:textId="77777777" w:rsidR="008423E4" w:rsidRDefault="008423E4" w:rsidP="00AB60D9">
      <w:pPr>
        <w:tabs>
          <w:tab w:val="right" w:pos="9360"/>
        </w:tabs>
      </w:pPr>
    </w:p>
    <w:p w14:paraId="7620CFD6" w14:textId="77777777" w:rsidR="008423E4" w:rsidRDefault="008423E4" w:rsidP="00AB60D9"/>
    <w:p w14:paraId="63D2367B" w14:textId="77777777" w:rsidR="008423E4" w:rsidRDefault="008423E4" w:rsidP="00AB60D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C3A3B" w14:paraId="784F9EB5" w14:textId="77777777" w:rsidTr="00345119">
        <w:tc>
          <w:tcPr>
            <w:tcW w:w="9576" w:type="dxa"/>
          </w:tcPr>
          <w:p w14:paraId="128102B3" w14:textId="77777777" w:rsidR="008423E4" w:rsidRPr="00A8133F" w:rsidRDefault="00DF39F9" w:rsidP="00AB60D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A5143B9" w14:textId="77777777" w:rsidR="008423E4" w:rsidRDefault="008423E4" w:rsidP="00AB60D9"/>
          <w:p w14:paraId="1AA000FA" w14:textId="57AFFEF0" w:rsidR="008423E4" w:rsidRDefault="00DF39F9" w:rsidP="00AB60D9">
            <w:pPr>
              <w:pStyle w:val="Header"/>
              <w:jc w:val="both"/>
            </w:pPr>
            <w:r w:rsidRPr="004A3284">
              <w:t xml:space="preserve">Concerns have been raised that citizens who are not part of any criminal street gang are being </w:t>
            </w:r>
            <w:r w:rsidR="00542EF5">
              <w:t>entered</w:t>
            </w:r>
            <w:r w:rsidRPr="004A3284">
              <w:t xml:space="preserve"> into the Department of Public Safety gang database</w:t>
            </w:r>
            <w:r w:rsidR="00456E08">
              <w:t xml:space="preserve"> known as TxGANG</w:t>
            </w:r>
            <w:r w:rsidRPr="004A3284">
              <w:t xml:space="preserve"> without reasonable cause, without their knowledge, </w:t>
            </w:r>
            <w:r w:rsidR="00981A58">
              <w:t xml:space="preserve">and </w:t>
            </w:r>
            <w:r w:rsidRPr="004A3284">
              <w:t>with no practical recourse for disputing their inclusion</w:t>
            </w:r>
            <w:r w:rsidR="00981A58">
              <w:t>.</w:t>
            </w:r>
            <w:r w:rsidRPr="004A3284">
              <w:t xml:space="preserve"> </w:t>
            </w:r>
            <w:r w:rsidR="00542EF5">
              <w:t>Because i</w:t>
            </w:r>
            <w:r w:rsidR="00981A58">
              <w:t xml:space="preserve">nclusion in </w:t>
            </w:r>
            <w:r w:rsidR="00456E08">
              <w:t>TxGANG</w:t>
            </w:r>
            <w:r w:rsidR="00981A58">
              <w:t xml:space="preserve"> can have</w:t>
            </w:r>
            <w:r w:rsidRPr="004A3284">
              <w:t xml:space="preserve"> serious consequences</w:t>
            </w:r>
            <w:r w:rsidR="00542EF5">
              <w:t>,</w:t>
            </w:r>
            <w:r w:rsidR="00981A58">
              <w:t xml:space="preserve"> processes </w:t>
            </w:r>
            <w:r w:rsidR="00456E08">
              <w:t xml:space="preserve">and procedures </w:t>
            </w:r>
            <w:r w:rsidR="00981A58">
              <w:t xml:space="preserve">surrounding </w:t>
            </w:r>
            <w:r w:rsidR="00456E08">
              <w:t>TxGANG</w:t>
            </w:r>
            <w:r w:rsidR="00981A58">
              <w:t xml:space="preserve"> need to be updated to address these due process concerns</w:t>
            </w:r>
            <w:r w:rsidRPr="004A3284">
              <w:t>.</w:t>
            </w:r>
            <w:r w:rsidR="00AE6846">
              <w:t xml:space="preserve"> </w:t>
            </w:r>
            <w:r w:rsidRPr="004A3284">
              <w:t xml:space="preserve">C.S.H.B. 1838 </w:t>
            </w:r>
            <w:r w:rsidR="00456E08">
              <w:t xml:space="preserve">seeks to revise these processes and procedures to increase evidentiary standards, improve communication, </w:t>
            </w:r>
            <w:r w:rsidRPr="004A3284">
              <w:t>and provide greater transparency and due process fo</w:t>
            </w:r>
            <w:r w:rsidRPr="004A3284">
              <w:t>r those</w:t>
            </w:r>
            <w:r w:rsidR="00626B2A">
              <w:t xml:space="preserve"> whose information would be</w:t>
            </w:r>
            <w:r w:rsidRPr="004A3284">
              <w:t xml:space="preserve"> included</w:t>
            </w:r>
            <w:r w:rsidR="00456E08">
              <w:t xml:space="preserve"> in TxGANG</w:t>
            </w:r>
            <w:r w:rsidRPr="004A3284">
              <w:t>.</w:t>
            </w:r>
          </w:p>
          <w:p w14:paraId="07523889" w14:textId="77777777" w:rsidR="008423E4" w:rsidRPr="00E26B13" w:rsidRDefault="008423E4" w:rsidP="00AB60D9">
            <w:pPr>
              <w:rPr>
                <w:b/>
              </w:rPr>
            </w:pPr>
          </w:p>
        </w:tc>
      </w:tr>
      <w:tr w:rsidR="009C3A3B" w14:paraId="0B65D738" w14:textId="77777777" w:rsidTr="00345119">
        <w:tc>
          <w:tcPr>
            <w:tcW w:w="9576" w:type="dxa"/>
          </w:tcPr>
          <w:p w14:paraId="218875C6" w14:textId="77777777" w:rsidR="0017725B" w:rsidRDefault="00DF39F9" w:rsidP="00AB60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B1AF5B0" w14:textId="77777777" w:rsidR="0017725B" w:rsidRDefault="0017725B" w:rsidP="00AB60D9">
            <w:pPr>
              <w:rPr>
                <w:b/>
                <w:u w:val="single"/>
              </w:rPr>
            </w:pPr>
          </w:p>
          <w:p w14:paraId="245022BA" w14:textId="77777777" w:rsidR="003E6230" w:rsidRPr="003E6230" w:rsidRDefault="00DF39F9" w:rsidP="00AB60D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</w:t>
            </w:r>
            <w:r>
              <w:t>or change the eligibility of a person for community supervision, parole, or mandatory supervision.</w:t>
            </w:r>
          </w:p>
          <w:p w14:paraId="3150FF7B" w14:textId="77777777" w:rsidR="0017725B" w:rsidRPr="0017725B" w:rsidRDefault="0017725B" w:rsidP="00AB60D9">
            <w:pPr>
              <w:rPr>
                <w:b/>
                <w:u w:val="single"/>
              </w:rPr>
            </w:pPr>
          </w:p>
        </w:tc>
      </w:tr>
      <w:tr w:rsidR="009C3A3B" w14:paraId="3A80946A" w14:textId="77777777" w:rsidTr="00345119">
        <w:tc>
          <w:tcPr>
            <w:tcW w:w="9576" w:type="dxa"/>
          </w:tcPr>
          <w:p w14:paraId="5CFE4866" w14:textId="77777777" w:rsidR="008423E4" w:rsidRPr="00A8133F" w:rsidRDefault="00DF39F9" w:rsidP="00AB60D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22C4EB8" w14:textId="77777777" w:rsidR="008423E4" w:rsidRDefault="008423E4" w:rsidP="00AB60D9"/>
          <w:p w14:paraId="18D49E45" w14:textId="7EFAF63E" w:rsidR="003E6230" w:rsidRDefault="00DF39F9" w:rsidP="00AB60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3E6230">
              <w:t xml:space="preserve">Department of Public Safety </w:t>
            </w:r>
            <w:r>
              <w:t xml:space="preserve">in SECTION </w:t>
            </w:r>
            <w:r w:rsidR="00C960C3">
              <w:t>7</w:t>
            </w:r>
            <w:r>
              <w:t xml:space="preserve"> of this</w:t>
            </w:r>
            <w:r>
              <w:t xml:space="preserve"> bill.</w:t>
            </w:r>
          </w:p>
          <w:p w14:paraId="2FC8841A" w14:textId="77777777" w:rsidR="008423E4" w:rsidRPr="00E21FDC" w:rsidRDefault="008423E4" w:rsidP="00AB60D9">
            <w:pPr>
              <w:rPr>
                <w:b/>
              </w:rPr>
            </w:pPr>
          </w:p>
        </w:tc>
      </w:tr>
      <w:tr w:rsidR="009C3A3B" w14:paraId="2654D0C3" w14:textId="77777777" w:rsidTr="00345119">
        <w:tc>
          <w:tcPr>
            <w:tcW w:w="9576" w:type="dxa"/>
          </w:tcPr>
          <w:p w14:paraId="71CA7E79" w14:textId="77777777" w:rsidR="008423E4" w:rsidRPr="00EA4B5B" w:rsidRDefault="00DF39F9" w:rsidP="00AB60D9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1C95ED4" w14:textId="77777777" w:rsidR="00AB60D9" w:rsidRDefault="00AB60D9" w:rsidP="00AB60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6515024" w14:textId="53B7EB43" w:rsidR="001F3D01" w:rsidRDefault="00DF39F9" w:rsidP="00AB60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01B8F">
              <w:t xml:space="preserve">H.B. 1838 amends </w:t>
            </w:r>
            <w:r w:rsidR="00C40795">
              <w:t>the</w:t>
            </w:r>
            <w:r w:rsidR="00A01B8F">
              <w:t xml:space="preserve"> Code of Criminal Procedure to</w:t>
            </w:r>
            <w:r w:rsidR="003E60B1" w:rsidRPr="003E60B1">
              <w:t xml:space="preserve"> </w:t>
            </w:r>
            <w:r w:rsidR="001B6535">
              <w:t xml:space="preserve">require </w:t>
            </w:r>
            <w:r w:rsidR="00060DA4">
              <w:t>t</w:t>
            </w:r>
            <w:r w:rsidR="001B6535">
              <w:t>he Department of Public Safety (DPS)</w:t>
            </w:r>
            <w:r w:rsidR="003E60B1" w:rsidRPr="003E60B1">
              <w:t xml:space="preserve"> to</w:t>
            </w:r>
            <w:r w:rsidR="003E60B1">
              <w:t xml:space="preserve"> provide</w:t>
            </w:r>
            <w:r w:rsidR="00AE6846">
              <w:t xml:space="preserve"> the following to</w:t>
            </w:r>
            <w:r w:rsidR="003E60B1">
              <w:t xml:space="preserve"> </w:t>
            </w:r>
            <w:r w:rsidR="00AE6846">
              <w:t>a</w:t>
            </w:r>
            <w:r w:rsidR="003E60B1" w:rsidRPr="003E60B1">
              <w:t xml:space="preserve"> person </w:t>
            </w:r>
            <w:r w:rsidR="00AE6846" w:rsidRPr="001B6535">
              <w:t xml:space="preserve">not later than </w:t>
            </w:r>
            <w:r w:rsidR="00AE6846">
              <w:t xml:space="preserve">the 60th day after the date DPS </w:t>
            </w:r>
            <w:r w:rsidR="00AE6846" w:rsidRPr="001B6535">
              <w:t>in</w:t>
            </w:r>
            <w:r w:rsidR="00F13210">
              <w:t>cludes information relating to th</w:t>
            </w:r>
            <w:r w:rsidR="00985498">
              <w:t>e</w:t>
            </w:r>
            <w:r w:rsidR="00AE6846" w:rsidRPr="001B6535">
              <w:t xml:space="preserve"> person in </w:t>
            </w:r>
            <w:r w:rsidR="00AE6846">
              <w:t xml:space="preserve">the DPS intelligence </w:t>
            </w:r>
            <w:r w:rsidR="00AE6846" w:rsidRPr="003E60B1">
              <w:t>database</w:t>
            </w:r>
            <w:r w:rsidR="00BF1F1D">
              <w:t xml:space="preserve"> regarding combinations and criminal street gangs</w:t>
            </w:r>
            <w:r w:rsidR="00106F1F">
              <w:t xml:space="preserve"> known as TxGANG</w:t>
            </w:r>
            <w:r w:rsidR="001B6535">
              <w:t>:</w:t>
            </w:r>
            <w:r w:rsidR="003E60B1">
              <w:t xml:space="preserve"> </w:t>
            </w:r>
          </w:p>
          <w:p w14:paraId="587C5669" w14:textId="36A25D63" w:rsidR="00C40795" w:rsidRPr="00C40795" w:rsidRDefault="00DF39F9" w:rsidP="00AB60D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40795">
              <w:t xml:space="preserve">notification regarding the inclusion of the person's information in </w:t>
            </w:r>
            <w:r w:rsidR="00644864">
              <w:t>TxGANG</w:t>
            </w:r>
            <w:r w:rsidRPr="00C40795">
              <w:t>;</w:t>
            </w:r>
          </w:p>
          <w:p w14:paraId="350BD21D" w14:textId="44BB0D0E" w:rsidR="00C40795" w:rsidRPr="00C40795" w:rsidRDefault="00DF39F9" w:rsidP="00AB60D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40795">
              <w:t xml:space="preserve">a description of the process for disputing the inclusion of information in </w:t>
            </w:r>
            <w:r w:rsidR="00644864">
              <w:t>TxGANG</w:t>
            </w:r>
            <w:r w:rsidR="00985498">
              <w:t>, including related costs, fees, time</w:t>
            </w:r>
            <w:r w:rsidR="00915DA1">
              <w:t xml:space="preserve"> </w:t>
            </w:r>
            <w:r w:rsidR="00985498">
              <w:t>lines, and necessary evidence</w:t>
            </w:r>
            <w:r w:rsidRPr="00C40795">
              <w:t>; and</w:t>
            </w:r>
          </w:p>
          <w:p w14:paraId="21885F74" w14:textId="38805B30" w:rsidR="00C40795" w:rsidRPr="00C40795" w:rsidRDefault="00DF39F9" w:rsidP="00AB60D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C40795">
              <w:t xml:space="preserve">a description of the process for removing information from </w:t>
            </w:r>
            <w:r w:rsidR="00644864">
              <w:t>TxGANG</w:t>
            </w:r>
            <w:r w:rsidRPr="00C40795">
              <w:t xml:space="preserve"> following renunciation of criminal street gang membership.</w:t>
            </w:r>
          </w:p>
          <w:p w14:paraId="07C2B278" w14:textId="4E85CC6F" w:rsidR="008423E4" w:rsidRDefault="00DF39F9" w:rsidP="00AB60D9">
            <w:pPr>
              <w:jc w:val="both"/>
            </w:pPr>
            <w:r>
              <w:t xml:space="preserve">The bill requires </w:t>
            </w:r>
            <w:r w:rsidR="001B6535">
              <w:t>DPS</w:t>
            </w:r>
            <w:r>
              <w:t xml:space="preserve"> to</w:t>
            </w:r>
            <w:r w:rsidRPr="00C40795">
              <w:t xml:space="preserve"> post </w:t>
            </w:r>
            <w:r>
              <w:t xml:space="preserve">information regarding </w:t>
            </w:r>
            <w:r w:rsidR="00C067F5">
              <w:t>both</w:t>
            </w:r>
            <w:r w:rsidRPr="00C40795">
              <w:t xml:space="preserve"> pro</w:t>
            </w:r>
            <w:r w:rsidRPr="00C40795">
              <w:t xml:space="preserve">cesses on </w:t>
            </w:r>
            <w:r w:rsidR="00C067F5">
              <w:t>the DPS</w:t>
            </w:r>
            <w:r w:rsidRPr="00C40795">
              <w:t xml:space="preserve"> website</w:t>
            </w:r>
            <w:r>
              <w:t>.</w:t>
            </w:r>
          </w:p>
          <w:p w14:paraId="53456A74" w14:textId="77777777" w:rsidR="00C067F5" w:rsidRDefault="00C067F5" w:rsidP="00AB60D9">
            <w:pPr>
              <w:jc w:val="both"/>
            </w:pPr>
          </w:p>
          <w:p w14:paraId="7A4BB8A4" w14:textId="559B2C3B" w:rsidR="00F13210" w:rsidRDefault="00DF39F9" w:rsidP="00AB60D9">
            <w:pPr>
              <w:jc w:val="both"/>
            </w:pPr>
            <w:r>
              <w:t>C.S.</w:t>
            </w:r>
            <w:r w:rsidR="00C067F5">
              <w:t xml:space="preserve">H.B. 1838 prohibits a person's inclusion in </w:t>
            </w:r>
            <w:r w:rsidR="00644864">
              <w:t>TxGANG</w:t>
            </w:r>
            <w:r w:rsidR="00C067F5">
              <w:t xml:space="preserve"> from being made available for</w:t>
            </w:r>
            <w:r w:rsidR="00985498">
              <w:t xml:space="preserve"> or</w:t>
            </w:r>
            <w:r>
              <w:t xml:space="preserve"> </w:t>
            </w:r>
            <w:r w:rsidR="00C067F5">
              <w:t>used in a determination of the person's employment eligibility</w:t>
            </w:r>
            <w:r w:rsidR="00334330">
              <w:t xml:space="preserve"> or from being used to do either of the following</w:t>
            </w:r>
            <w:r w:rsidR="00EC0B8F">
              <w:t>:</w:t>
            </w:r>
          </w:p>
          <w:p w14:paraId="71BA20BC" w14:textId="0EE0A390" w:rsidR="00F13210" w:rsidRDefault="00DF39F9" w:rsidP="00AB60D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limit any rights given to t</w:t>
            </w:r>
            <w:r>
              <w:t xml:space="preserve">he person by state or federal law; or </w:t>
            </w:r>
          </w:p>
          <w:p w14:paraId="135D6AFB" w14:textId="5AEF94F7" w:rsidR="001B6535" w:rsidRDefault="00DF39F9" w:rsidP="00AB60D9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limit the person's ability to obtain any federal or state license, permit, or benefit.</w:t>
            </w:r>
            <w:r w:rsidR="003C6ECC">
              <w:t xml:space="preserve"> </w:t>
            </w:r>
          </w:p>
          <w:p w14:paraId="143AC345" w14:textId="77777777" w:rsidR="001B6535" w:rsidRDefault="001B6535" w:rsidP="00AB60D9">
            <w:pPr>
              <w:jc w:val="both"/>
            </w:pPr>
          </w:p>
          <w:p w14:paraId="2911BB36" w14:textId="4B2AC331" w:rsidR="00C067F5" w:rsidRDefault="00DF39F9" w:rsidP="00AB60D9">
            <w:pPr>
              <w:jc w:val="both"/>
            </w:pPr>
            <w:r>
              <w:t>C.S.H.B. 1838</w:t>
            </w:r>
            <w:r w:rsidR="003C6ECC">
              <w:t xml:space="preserve"> </w:t>
            </w:r>
            <w:r>
              <w:t>requires the</w:t>
            </w:r>
            <w:r w:rsidRPr="00D30A6D">
              <w:t xml:space="preserve"> state auditor </w:t>
            </w:r>
            <w:r>
              <w:t xml:space="preserve">to annually conduct an audit of the information held in </w:t>
            </w:r>
            <w:r w:rsidR="00644864">
              <w:t>TxGANG</w:t>
            </w:r>
            <w:r>
              <w:t xml:space="preserve"> and </w:t>
            </w:r>
            <w:r w:rsidR="007832A1">
              <w:t>requires</w:t>
            </w:r>
            <w:r>
              <w:t xml:space="preserve"> the removal</w:t>
            </w:r>
            <w:r>
              <w:t xml:space="preserve"> of information that the auditor finds has remained in </w:t>
            </w:r>
            <w:r w:rsidR="00644864">
              <w:t>TxGANG</w:t>
            </w:r>
            <w:r>
              <w:t xml:space="preserve"> for more than 10 years</w:t>
            </w:r>
            <w:r w:rsidR="00A8251E">
              <w:t xml:space="preserve">, unless DPS </w:t>
            </w:r>
            <w:r w:rsidR="007832A1">
              <w:t>is able to</w:t>
            </w:r>
            <w:r w:rsidR="00A8251E">
              <w:t xml:space="preserve"> reestablish sufficient evidence for th</w:t>
            </w:r>
            <w:r w:rsidR="00644864">
              <w:t>e inclusion of the information</w:t>
            </w:r>
            <w:r>
              <w:t xml:space="preserve">. The bill requires the </w:t>
            </w:r>
            <w:r w:rsidR="00A8251E">
              <w:t xml:space="preserve">state </w:t>
            </w:r>
            <w:r>
              <w:t xml:space="preserve">auditor to create a summary of the audit </w:t>
            </w:r>
            <w:r w:rsidR="003C6ECC">
              <w:t xml:space="preserve">and </w:t>
            </w:r>
            <w:r>
              <w:t>requi</w:t>
            </w:r>
            <w:r>
              <w:t xml:space="preserve">res DPS to </w:t>
            </w:r>
            <w:r w:rsidR="003C6ECC" w:rsidRPr="003C6ECC">
              <w:t xml:space="preserve">make the summary available on </w:t>
            </w:r>
            <w:r>
              <w:t>its</w:t>
            </w:r>
            <w:r w:rsidR="003C6ECC" w:rsidRPr="003C6ECC">
              <w:t xml:space="preserve"> website.</w:t>
            </w:r>
            <w:r w:rsidR="00A8251E">
              <w:t xml:space="preserve"> The bill sets out requirements for the content of the summary.</w:t>
            </w:r>
            <w:r w:rsidR="00EA4B5B">
              <w:t xml:space="preserve">  </w:t>
            </w:r>
          </w:p>
          <w:p w14:paraId="09951EA5" w14:textId="44ABBE91" w:rsidR="00314E0A" w:rsidRDefault="00314E0A" w:rsidP="00AB60D9">
            <w:pPr>
              <w:jc w:val="both"/>
            </w:pPr>
          </w:p>
          <w:p w14:paraId="0BBAA0C6" w14:textId="0706EDE2" w:rsidR="00314E0A" w:rsidRDefault="00DF39F9" w:rsidP="00AB60D9">
            <w:pPr>
              <w:jc w:val="both"/>
            </w:pPr>
            <w:r>
              <w:t xml:space="preserve">C.S.H.B. 1838 authorizes a </w:t>
            </w:r>
            <w:r w:rsidRPr="002A50B9">
              <w:t xml:space="preserve">person who is no longer a member of a criminal street gang </w:t>
            </w:r>
            <w:r>
              <w:t>to</w:t>
            </w:r>
            <w:r w:rsidRPr="002A50B9">
              <w:t xml:space="preserve"> renounce gang membership</w:t>
            </w:r>
            <w:r>
              <w:t xml:space="preserve"> and requires </w:t>
            </w:r>
            <w:r w:rsidR="007832A1">
              <w:t xml:space="preserve">the removal of </w:t>
            </w:r>
            <w:r>
              <w:t>th</w:t>
            </w:r>
            <w:r w:rsidR="007832A1">
              <w:t>at person's</w:t>
            </w:r>
            <w:r>
              <w:t xml:space="preserve"> information</w:t>
            </w:r>
            <w:r w:rsidRPr="002A50B9">
              <w:t xml:space="preserve"> from </w:t>
            </w:r>
            <w:r>
              <w:t>TxGANG</w:t>
            </w:r>
            <w:r w:rsidRPr="002A50B9">
              <w:t xml:space="preserve"> on the second anniversary of the renunciation.</w:t>
            </w:r>
            <w:r>
              <w:t xml:space="preserve"> The bill requires DPS to </w:t>
            </w:r>
            <w:r w:rsidRPr="003E6230">
              <w:t xml:space="preserve">adopt rules and forms for the process by which a former member of a criminal street gang may renounce membership, provide evidence </w:t>
            </w:r>
            <w:r w:rsidRPr="003E6230">
              <w:t xml:space="preserve">that the person is no longer a member of the gang, and be removed from </w:t>
            </w:r>
            <w:r>
              <w:t>TxGANG</w:t>
            </w:r>
            <w:r w:rsidRPr="003E6230">
              <w:t>.</w:t>
            </w:r>
          </w:p>
          <w:p w14:paraId="2847BCA4" w14:textId="77777777" w:rsidR="00EA4B5B" w:rsidRDefault="00EA4B5B" w:rsidP="00AB60D9">
            <w:pPr>
              <w:jc w:val="both"/>
            </w:pPr>
          </w:p>
          <w:p w14:paraId="21000A93" w14:textId="7DB8BB35" w:rsidR="005E44BB" w:rsidRDefault="00DF39F9" w:rsidP="00AB60D9">
            <w:pPr>
              <w:jc w:val="both"/>
            </w:pPr>
            <w:r>
              <w:t>C.S.</w:t>
            </w:r>
            <w:r w:rsidR="003C6ECC">
              <w:t xml:space="preserve">H.B. 1838 </w:t>
            </w:r>
            <w:r w:rsidR="009037FD">
              <w:t>revises provisions establishing a person</w:t>
            </w:r>
            <w:r w:rsidR="00C960C3">
              <w:t>'s right</w:t>
            </w:r>
            <w:r w:rsidR="009037FD">
              <w:t xml:space="preserve"> to request review of criminal information regarding themselves or their</w:t>
            </w:r>
            <w:r w:rsidR="00C116F3">
              <w:t xml:space="preserve"> child</w:t>
            </w:r>
            <w:r w:rsidR="009037FD">
              <w:t xml:space="preserve"> </w:t>
            </w:r>
            <w:r>
              <w:t>included in a</w:t>
            </w:r>
            <w:r w:rsidR="00DE351A">
              <w:t xml:space="preserve">n </w:t>
            </w:r>
            <w:r>
              <w:t>intelligence databas</w:t>
            </w:r>
            <w:r>
              <w:t xml:space="preserve">e on criminal street gang activity </w:t>
            </w:r>
            <w:r w:rsidR="00BE2AC5">
              <w:t xml:space="preserve">and submitted to DPS for inclusion in TxGANG </w:t>
            </w:r>
            <w:r w:rsidR="00F63562">
              <w:t>as follows</w:t>
            </w:r>
            <w:r>
              <w:t>:</w:t>
            </w:r>
          </w:p>
          <w:p w14:paraId="09EF8F29" w14:textId="65CA73F2" w:rsidR="002E3BB7" w:rsidRDefault="00DF39F9" w:rsidP="00AB60D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includ</w:t>
            </w:r>
            <w:r w:rsidR="00F63562">
              <w:t>es</w:t>
            </w:r>
            <w:r>
              <w:t xml:space="preserve"> collecti</w:t>
            </w:r>
            <w:r w:rsidR="00E8752E">
              <w:t>ng</w:t>
            </w:r>
            <w:r>
              <w:t xml:space="preserve"> the information </w:t>
            </w:r>
            <w:r w:rsidR="00DE351A">
              <w:t xml:space="preserve">in </w:t>
            </w:r>
            <w:r w:rsidR="007974F8">
              <w:t>violati</w:t>
            </w:r>
            <w:r w:rsidR="00DE351A">
              <w:t>on of</w:t>
            </w:r>
            <w:r w:rsidR="00B401DD" w:rsidRPr="00B401DD">
              <w:t xml:space="preserve"> </w:t>
            </w:r>
            <w:r>
              <w:t xml:space="preserve">federal </w:t>
            </w:r>
            <w:r w:rsidR="00B401DD" w:rsidRPr="00B401DD">
              <w:t>criminal intelligence systems operating policies</w:t>
            </w:r>
            <w:r>
              <w:t>, the Texas Constitution, or the U.S. Constitution</w:t>
            </w:r>
            <w:r w:rsidR="00E8752E">
              <w:t xml:space="preserve"> as grounds for the removal of information from the database</w:t>
            </w:r>
            <w:r>
              <w:t>;</w:t>
            </w:r>
          </w:p>
          <w:p w14:paraId="66C86090" w14:textId="3AD60703" w:rsidR="002E3BB7" w:rsidRDefault="00DF39F9" w:rsidP="00AB60D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changes the requisite evidentiary standard regarding accuracy of the information to justify its inclusion in the database following review from </w:t>
            </w:r>
            <w:r w:rsidR="00F16539" w:rsidRPr="00F16539">
              <w:t>reasonable sus</w:t>
            </w:r>
            <w:r w:rsidR="00F16539">
              <w:t>picion</w:t>
            </w:r>
            <w:r w:rsidR="00F16539" w:rsidRPr="00F16539">
              <w:t xml:space="preserve"> </w:t>
            </w:r>
            <w:r>
              <w:t>to</w:t>
            </w:r>
            <w:r w:rsidR="00F16539" w:rsidRPr="00F16539">
              <w:t xml:space="preserve"> </w:t>
            </w:r>
            <w:r w:rsidR="00F16539">
              <w:t>probable cause</w:t>
            </w:r>
            <w:r>
              <w:t>;</w:t>
            </w:r>
          </w:p>
          <w:p w14:paraId="337EF2BF" w14:textId="0BC33FDB" w:rsidR="002E3BB7" w:rsidRDefault="00DF39F9" w:rsidP="00AB60D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specif</w:t>
            </w:r>
            <w:r w:rsidR="00F63562">
              <w:t>ies</w:t>
            </w:r>
            <w:r>
              <w:t xml:space="preserve"> </w:t>
            </w:r>
            <w:r>
              <w:t>that the destruction of all recordings containing information found to not meet that evidentiary standard must be prompt;</w:t>
            </w:r>
          </w:p>
          <w:p w14:paraId="66001068" w14:textId="233E10A3" w:rsidR="00AE77E4" w:rsidRDefault="00DF39F9" w:rsidP="00AB60D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establish</w:t>
            </w:r>
            <w:r w:rsidR="00F63562">
              <w:t>es</w:t>
            </w:r>
            <w:r>
              <w:t xml:space="preserve"> a 10-business-day deadline following that destruction for the</w:t>
            </w:r>
            <w:r w:rsidR="00E8752E">
              <w:t xml:space="preserve"> applicable law enforcement</w:t>
            </w:r>
            <w:r w:rsidR="00314D3C">
              <w:t xml:space="preserve"> agency </w:t>
            </w:r>
            <w:r>
              <w:t xml:space="preserve">to notify DPS and the </w:t>
            </w:r>
            <w:r>
              <w:t>person requesting the review of the agency's determination</w:t>
            </w:r>
            <w:r w:rsidR="00E8752E">
              <w:t xml:space="preserve"> on the request</w:t>
            </w:r>
            <w:r>
              <w:t xml:space="preserve"> and the destruction of the records; and</w:t>
            </w:r>
          </w:p>
          <w:p w14:paraId="631CB7FE" w14:textId="1F111376" w:rsidR="00314D3C" w:rsidRDefault="00DF39F9" w:rsidP="00AB60D9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establish</w:t>
            </w:r>
            <w:r w:rsidR="00F63562">
              <w:t>es</w:t>
            </w:r>
            <w:r>
              <w:t xml:space="preserve"> a 10</w:t>
            </w:r>
            <w:r w:rsidR="002364AF">
              <w:t>-</w:t>
            </w:r>
            <w:r>
              <w:t>business</w:t>
            </w:r>
            <w:r w:rsidR="002364AF">
              <w:t>-</w:t>
            </w:r>
            <w:r>
              <w:t>day deadline following recei</w:t>
            </w:r>
            <w:r w:rsidR="00E8752E">
              <w:t>pt</w:t>
            </w:r>
            <w:r>
              <w:t xml:space="preserve"> of that notice for DPS to destroy all records containing the applicable information t</w:t>
            </w:r>
            <w:r>
              <w:t>hat is in TxGANG</w:t>
            </w:r>
            <w:r w:rsidR="003F4525">
              <w:t>.</w:t>
            </w:r>
          </w:p>
          <w:p w14:paraId="5FCB7200" w14:textId="77777777" w:rsidR="003F4525" w:rsidRDefault="003F4525" w:rsidP="00AB60D9">
            <w:pPr>
              <w:jc w:val="both"/>
            </w:pPr>
          </w:p>
          <w:p w14:paraId="7D4BA406" w14:textId="568F8A20" w:rsidR="002364AF" w:rsidRDefault="00DF39F9" w:rsidP="00AB60D9">
            <w:pPr>
              <w:jc w:val="both"/>
            </w:pPr>
            <w:r>
              <w:t>C.S.</w:t>
            </w:r>
            <w:r w:rsidR="003F4525">
              <w:t xml:space="preserve">H.B. 1838 </w:t>
            </w:r>
            <w:r w:rsidR="00171DE9">
              <w:t>makes those</w:t>
            </w:r>
            <w:r w:rsidR="00626B2A">
              <w:t xml:space="preserve"> same</w:t>
            </w:r>
            <w:r w:rsidR="00171DE9">
              <w:t xml:space="preserve"> revisions with respect to the</w:t>
            </w:r>
            <w:r>
              <w:t xml:space="preserve"> judicial review of the determination made by a law enforcement agency </w:t>
            </w:r>
            <w:r w:rsidR="00171DE9">
              <w:t xml:space="preserve">and further revises provisions relating to the judicial review </w:t>
            </w:r>
            <w:r w:rsidR="00F63562">
              <w:t>as follows</w:t>
            </w:r>
            <w:r>
              <w:t>:</w:t>
            </w:r>
          </w:p>
          <w:p w14:paraId="53262887" w14:textId="23B43F12" w:rsidR="00572E2A" w:rsidRDefault="00DF39F9" w:rsidP="00AB60D9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establish</w:t>
            </w:r>
            <w:r w:rsidR="00F63562">
              <w:t>es</w:t>
            </w:r>
            <w:r>
              <w:t xml:space="preserve"> a 60-day deadline f</w:t>
            </w:r>
            <w:r>
              <w:t>ollowing receipt of the written notice of the agency's determination for a person to file a petition for judicial review</w:t>
            </w:r>
            <w:r w:rsidR="00F0216E">
              <w:t>, but authorizes a court to grant judicial review of a petition filed after that date if the petitioner shows good cause for filing after that date</w:t>
            </w:r>
            <w:r>
              <w:t>;</w:t>
            </w:r>
          </w:p>
          <w:p w14:paraId="278F9312" w14:textId="2F141931" w:rsidR="00572E2A" w:rsidRDefault="00DF39F9" w:rsidP="00AB60D9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chang</w:t>
            </w:r>
            <w:r w:rsidR="00F63562">
              <w:t>es</w:t>
            </w:r>
            <w:r>
              <w:t xml:space="preserve"> the nature of the review from an in-camera review of the information that is the subject of the determination to a hearing in</w:t>
            </w:r>
            <w:r w:rsidR="00C63B6B">
              <w:t xml:space="preserve"> which</w:t>
            </w:r>
            <w:r>
              <w:t xml:space="preserve"> </w:t>
            </w:r>
            <w:r w:rsidR="002F00F4">
              <w:t xml:space="preserve">the court </w:t>
            </w:r>
            <w:r>
              <w:t>must</w:t>
            </w:r>
            <w:r w:rsidR="002F00F4" w:rsidRPr="002F00F4">
              <w:t xml:space="preserve"> make available to the person's counsel under </w:t>
            </w:r>
            <w:r w:rsidR="002F00F4">
              <w:t>procedures for discovery all</w:t>
            </w:r>
            <w:r w:rsidR="002F00F4" w:rsidRPr="002F00F4">
              <w:t xml:space="preserve"> </w:t>
            </w:r>
            <w:r>
              <w:t xml:space="preserve">such </w:t>
            </w:r>
            <w:r w:rsidR="002F00F4" w:rsidRPr="002F00F4">
              <w:t>criminal information</w:t>
            </w:r>
            <w:r>
              <w:t>;</w:t>
            </w:r>
            <w:r w:rsidR="00171DE9">
              <w:t xml:space="preserve"> and</w:t>
            </w:r>
          </w:p>
          <w:p w14:paraId="0651C00C" w14:textId="6D792F9D" w:rsidR="00C067F5" w:rsidRDefault="00DF39F9" w:rsidP="00AB60D9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mak</w:t>
            </w:r>
            <w:r w:rsidR="00F63562">
              <w:t>es</w:t>
            </w:r>
            <w:r>
              <w:t xml:space="preserve"> the information that is the subject of the review subject to disclosure </w:t>
            </w:r>
            <w:r w:rsidR="00626B2A">
              <w:t xml:space="preserve">as required by discovery procedures </w:t>
            </w:r>
            <w:r>
              <w:t>under a subpoena or other legal process.</w:t>
            </w:r>
          </w:p>
          <w:p w14:paraId="094139D8" w14:textId="77777777" w:rsidR="00C067F5" w:rsidRPr="00C40795" w:rsidRDefault="00C067F5" w:rsidP="00AB60D9">
            <w:pPr>
              <w:jc w:val="both"/>
            </w:pPr>
          </w:p>
        </w:tc>
      </w:tr>
      <w:tr w:rsidR="009C3A3B" w14:paraId="52C217C9" w14:textId="77777777" w:rsidTr="00345119">
        <w:tc>
          <w:tcPr>
            <w:tcW w:w="9576" w:type="dxa"/>
          </w:tcPr>
          <w:p w14:paraId="1ED992A6" w14:textId="77777777" w:rsidR="008423E4" w:rsidRPr="00A8133F" w:rsidRDefault="00DF39F9" w:rsidP="00AB60D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DB9A90" w14:textId="77777777" w:rsidR="008423E4" w:rsidRDefault="008423E4" w:rsidP="00AB60D9"/>
          <w:p w14:paraId="52C538E3" w14:textId="77777777" w:rsidR="008423E4" w:rsidRPr="003624F2" w:rsidRDefault="00DF39F9" w:rsidP="00AB60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73244D9B" w14:textId="77777777" w:rsidR="008423E4" w:rsidRPr="00233FDB" w:rsidRDefault="008423E4" w:rsidP="00AB60D9">
            <w:pPr>
              <w:rPr>
                <w:b/>
              </w:rPr>
            </w:pPr>
          </w:p>
        </w:tc>
      </w:tr>
      <w:tr w:rsidR="009C3A3B" w14:paraId="0F773A54" w14:textId="77777777" w:rsidTr="00345119">
        <w:tc>
          <w:tcPr>
            <w:tcW w:w="9576" w:type="dxa"/>
          </w:tcPr>
          <w:p w14:paraId="290F5026" w14:textId="34617B7B" w:rsidR="003F41D0" w:rsidRPr="00076149" w:rsidRDefault="00DF39F9" w:rsidP="00AB60D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2299653D" w14:textId="77777777" w:rsidR="00AB60D9" w:rsidRDefault="00AB60D9" w:rsidP="00AB60D9">
            <w:pPr>
              <w:jc w:val="both"/>
            </w:pPr>
          </w:p>
          <w:p w14:paraId="6780D553" w14:textId="6804FE37" w:rsidR="003F41D0" w:rsidRDefault="00DF39F9" w:rsidP="00AB60D9">
            <w:pPr>
              <w:jc w:val="both"/>
            </w:pPr>
            <w:r>
              <w:t>While</w:t>
            </w:r>
            <w:r>
              <w:t xml:space="preserve"> C.S.H.B. 1838 may differ from the original in minor or nonsubstantive ways, the following summarizes the substantial differences between the introduced and committee substitute versions of the bill.</w:t>
            </w:r>
          </w:p>
          <w:p w14:paraId="4D7CC41B" w14:textId="41203F70" w:rsidR="003F41D0" w:rsidRDefault="003F41D0" w:rsidP="00AB60D9">
            <w:pPr>
              <w:jc w:val="both"/>
            </w:pPr>
          </w:p>
          <w:p w14:paraId="0D2E74E5" w14:textId="05C8D170" w:rsidR="003F41D0" w:rsidRDefault="00DF39F9" w:rsidP="00AB60D9">
            <w:pPr>
              <w:jc w:val="both"/>
            </w:pPr>
            <w:r>
              <w:t xml:space="preserve">The substitute </w:t>
            </w:r>
            <w:r w:rsidR="001B0E18">
              <w:t xml:space="preserve">omits provisions </w:t>
            </w:r>
            <w:r w:rsidR="00F63562">
              <w:t>that appeared in</w:t>
            </w:r>
            <w:r w:rsidR="004F67C2">
              <w:t xml:space="preserve"> the original </w:t>
            </w:r>
            <w:r w:rsidR="001B0E18">
              <w:t>revising the criteria for submission</w:t>
            </w:r>
            <w:r w:rsidR="004F67C2">
              <w:t xml:space="preserve"> </w:t>
            </w:r>
            <w:r w:rsidR="001B0E18">
              <w:t xml:space="preserve">of </w:t>
            </w:r>
            <w:r w:rsidR="004F67C2">
              <w:t>information</w:t>
            </w:r>
            <w:r w:rsidR="00AF566E">
              <w:t xml:space="preserve"> </w:t>
            </w:r>
            <w:r w:rsidR="001B0E18">
              <w:t>for inclusion in TxGANG</w:t>
            </w:r>
            <w:r w:rsidR="00060DA4">
              <w:t xml:space="preserve">. </w:t>
            </w:r>
          </w:p>
          <w:p w14:paraId="7B0CD6A6" w14:textId="35CE7A7E" w:rsidR="00AF566E" w:rsidRDefault="00AF566E" w:rsidP="00AB60D9">
            <w:pPr>
              <w:jc w:val="both"/>
            </w:pPr>
          </w:p>
          <w:p w14:paraId="76038905" w14:textId="041766C5" w:rsidR="002811DC" w:rsidRDefault="00DF39F9" w:rsidP="00AB60D9">
            <w:pPr>
              <w:jc w:val="both"/>
            </w:pPr>
            <w:r>
              <w:t xml:space="preserve">The substitute revises the original's provisions establishing a notification requirement following inclusion of a person in a gang database </w:t>
            </w:r>
            <w:r w:rsidR="00F63562">
              <w:t>as follows</w:t>
            </w:r>
            <w:r>
              <w:t>:</w:t>
            </w:r>
          </w:p>
          <w:p w14:paraId="23DB15C8" w14:textId="02FA66FD" w:rsidR="002811DC" w:rsidRDefault="00DF39F9" w:rsidP="00AB60D9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narrow</w:t>
            </w:r>
            <w:r w:rsidR="00F63562">
              <w:t>s</w:t>
            </w:r>
            <w:r>
              <w:t xml:space="preserve"> the scope </w:t>
            </w:r>
            <w:r>
              <w:t>of the provisions to apply only to TxGANG rather than to any local or regional gang database, as in the original;</w:t>
            </w:r>
          </w:p>
          <w:p w14:paraId="38DA9DF3" w14:textId="10CE4612" w:rsidR="002811DC" w:rsidRDefault="00DF39F9" w:rsidP="00AB60D9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change</w:t>
            </w:r>
            <w:r w:rsidR="00D707FF">
              <w:t>s</w:t>
            </w:r>
            <w:r>
              <w:t xml:space="preserve"> the entity responsible for providing the notice from a</w:t>
            </w:r>
            <w:r w:rsidR="00D707FF">
              <w:t xml:space="preserve"> law enforcement</w:t>
            </w:r>
            <w:r>
              <w:t xml:space="preserve"> agency that submits</w:t>
            </w:r>
            <w:r w:rsidR="00D707FF">
              <w:t xml:space="preserve"> the</w:t>
            </w:r>
            <w:r>
              <w:t xml:space="preserve"> information for inclusion in TxGANG</w:t>
            </w:r>
            <w:r w:rsidR="00D707FF">
              <w:t>, as in the original,</w:t>
            </w:r>
            <w:r>
              <w:t xml:space="preserve"> to DPS; and</w:t>
            </w:r>
          </w:p>
          <w:p w14:paraId="781DA88E" w14:textId="66B5775B" w:rsidR="002811DC" w:rsidRDefault="00DF39F9" w:rsidP="00AB60D9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changes the date on which the 60-day deadline</w:t>
            </w:r>
            <w:r w:rsidR="00D707FF">
              <w:t xml:space="preserve"> period</w:t>
            </w:r>
            <w:r>
              <w:t xml:space="preserve"> for providing the notice begins from the date the information was submitted to DPS</w:t>
            </w:r>
            <w:r w:rsidR="00D707FF">
              <w:t>, as in the original,</w:t>
            </w:r>
            <w:r>
              <w:t xml:space="preserve"> to the date DPS includes the information in TxGANG.</w:t>
            </w:r>
          </w:p>
          <w:p w14:paraId="7330A088" w14:textId="77777777" w:rsidR="002811DC" w:rsidRDefault="002811DC" w:rsidP="00AB60D9">
            <w:pPr>
              <w:jc w:val="both"/>
            </w:pPr>
          </w:p>
          <w:p w14:paraId="4D3DFB68" w14:textId="247FFD7B" w:rsidR="00AF566E" w:rsidRDefault="00DF39F9" w:rsidP="00AB60D9">
            <w:pPr>
              <w:jc w:val="both"/>
            </w:pPr>
            <w:r>
              <w:t>The substitute n</w:t>
            </w:r>
            <w:r>
              <w:t xml:space="preserve">arrows the scope of the original's provisions regarding the prohibited release and use of information in a gang database </w:t>
            </w:r>
            <w:r w:rsidR="00456E08">
              <w:t xml:space="preserve">and the right to removal of information in a gang database following renunciation of gang membership so as </w:t>
            </w:r>
            <w:r>
              <w:t>to apply only to information</w:t>
            </w:r>
            <w:r>
              <w:t xml:space="preserve"> in TxGANG, rather than also to</w:t>
            </w:r>
            <w:r w:rsidR="00D707FF">
              <w:t xml:space="preserve"> information in</w:t>
            </w:r>
            <w:r>
              <w:t xml:space="preserve"> local and regional gang databases, as in the original. </w:t>
            </w:r>
          </w:p>
          <w:p w14:paraId="7603F459" w14:textId="33CD5D6B" w:rsidR="00E332AF" w:rsidRDefault="00E332AF" w:rsidP="00AB60D9">
            <w:pPr>
              <w:jc w:val="both"/>
            </w:pPr>
          </w:p>
          <w:p w14:paraId="5F0D8C06" w14:textId="48D476F5" w:rsidR="00524D07" w:rsidRDefault="00DF39F9" w:rsidP="00AB60D9">
            <w:pPr>
              <w:jc w:val="both"/>
            </w:pPr>
            <w:r>
              <w:t>Whereas</w:t>
            </w:r>
            <w:r w:rsidR="00D707FF">
              <w:t xml:space="preserve"> the original required DPS to annually summarize</w:t>
            </w:r>
            <w:r w:rsidR="002C01B2">
              <w:t xml:space="preserve"> the information in TxGANG</w:t>
            </w:r>
            <w:r w:rsidR="00D707FF">
              <w:t xml:space="preserve">, </w:t>
            </w:r>
            <w:r w:rsidR="002C01B2">
              <w:t>t</w:t>
            </w:r>
            <w:r w:rsidR="00E332AF">
              <w:t xml:space="preserve">he substitute </w:t>
            </w:r>
            <w:r w:rsidR="00E332AF" w:rsidRPr="00E332AF">
              <w:t>requir</w:t>
            </w:r>
            <w:r w:rsidR="002C01B2">
              <w:t>es</w:t>
            </w:r>
            <w:r w:rsidR="00E332AF" w:rsidRPr="00E332AF">
              <w:t xml:space="preserve"> the state auditor </w:t>
            </w:r>
            <w:r w:rsidR="002C01B2">
              <w:t xml:space="preserve">instead to </w:t>
            </w:r>
            <w:r w:rsidR="00E332AF" w:rsidRPr="00E332AF">
              <w:t>annually conduct an audit of th</w:t>
            </w:r>
            <w:r w:rsidR="002C01B2">
              <w:t>at</w:t>
            </w:r>
            <w:r w:rsidR="00E332AF" w:rsidRPr="00E332AF">
              <w:t xml:space="preserve"> information </w:t>
            </w:r>
            <w:r>
              <w:t>and</w:t>
            </w:r>
            <w:r w:rsidR="002C01B2">
              <w:t xml:space="preserve"> create a summary of the audit that has the same elements as the original's DPS summary. The substitute includes provisions absent from the original requiring the state auditor to </w:t>
            </w:r>
            <w:r>
              <w:t>request that DPS reestablish</w:t>
            </w:r>
            <w:r>
              <w:t xml:space="preserve"> sufficient evidence for the inclusion of any </w:t>
            </w:r>
            <w:r w:rsidR="00E332AF" w:rsidRPr="00E332AF">
              <w:t xml:space="preserve">information that has remained in </w:t>
            </w:r>
            <w:r>
              <w:t>TxGANG</w:t>
            </w:r>
            <w:r w:rsidR="00E332AF">
              <w:t xml:space="preserve"> for more than 10 years</w:t>
            </w:r>
            <w:r w:rsidR="002C01B2">
              <w:t xml:space="preserve"> and </w:t>
            </w:r>
            <w:r w:rsidR="006F275E">
              <w:t xml:space="preserve">requiring </w:t>
            </w:r>
            <w:r>
              <w:t>DPS to remove from TxGANG any such information for which sufficient evidence to justify continued inclusion cannot be established.</w:t>
            </w:r>
          </w:p>
          <w:p w14:paraId="514AE9CB" w14:textId="074AF9B6" w:rsidR="00E332AF" w:rsidRPr="00524D07" w:rsidRDefault="00E332AF" w:rsidP="00AB60D9">
            <w:pPr>
              <w:jc w:val="both"/>
              <w:rPr>
                <w:rFonts w:eastAsia="Calibri"/>
                <w:szCs w:val="22"/>
              </w:rPr>
            </w:pPr>
          </w:p>
          <w:p w14:paraId="0A4B8D45" w14:textId="1C9DC1C8" w:rsidR="003F41D0" w:rsidRPr="003F41D0" w:rsidRDefault="003F41D0" w:rsidP="00AB60D9">
            <w:pPr>
              <w:jc w:val="both"/>
            </w:pPr>
          </w:p>
        </w:tc>
      </w:tr>
      <w:tr w:rsidR="009C3A3B" w14:paraId="71CA3600" w14:textId="77777777" w:rsidTr="00345119">
        <w:tc>
          <w:tcPr>
            <w:tcW w:w="9576" w:type="dxa"/>
          </w:tcPr>
          <w:p w14:paraId="5430DE3A" w14:textId="77777777" w:rsidR="00F93BB1" w:rsidRPr="009C1E9A" w:rsidRDefault="00F93BB1" w:rsidP="00AB60D9">
            <w:pPr>
              <w:rPr>
                <w:b/>
                <w:u w:val="single"/>
              </w:rPr>
            </w:pPr>
          </w:p>
        </w:tc>
      </w:tr>
      <w:tr w:rsidR="009C3A3B" w14:paraId="3337B85A" w14:textId="77777777" w:rsidTr="00345119">
        <w:tc>
          <w:tcPr>
            <w:tcW w:w="9576" w:type="dxa"/>
          </w:tcPr>
          <w:p w14:paraId="73C3A256" w14:textId="77777777" w:rsidR="00F93BB1" w:rsidRPr="00F93BB1" w:rsidRDefault="00F93BB1" w:rsidP="00AB60D9">
            <w:pPr>
              <w:jc w:val="both"/>
            </w:pPr>
          </w:p>
        </w:tc>
      </w:tr>
    </w:tbl>
    <w:p w14:paraId="7B176A2F" w14:textId="77777777" w:rsidR="008423E4" w:rsidRPr="00BE0E75" w:rsidRDefault="008423E4" w:rsidP="00AB60D9">
      <w:pPr>
        <w:jc w:val="both"/>
        <w:rPr>
          <w:rFonts w:ascii="Arial" w:hAnsi="Arial"/>
          <w:sz w:val="16"/>
          <w:szCs w:val="16"/>
        </w:rPr>
      </w:pPr>
    </w:p>
    <w:p w14:paraId="4C518A0E" w14:textId="77777777" w:rsidR="004108C3" w:rsidRPr="008423E4" w:rsidRDefault="004108C3" w:rsidP="00AB60D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E78DA" w14:textId="77777777" w:rsidR="00000000" w:rsidRDefault="00DF39F9">
      <w:r>
        <w:separator/>
      </w:r>
    </w:p>
  </w:endnote>
  <w:endnote w:type="continuationSeparator" w:id="0">
    <w:p w14:paraId="5A2E8BF7" w14:textId="77777777" w:rsidR="00000000" w:rsidRDefault="00DF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0E8F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C3A3B" w14:paraId="137D025F" w14:textId="77777777" w:rsidTr="009C1E9A">
      <w:trPr>
        <w:cantSplit/>
      </w:trPr>
      <w:tc>
        <w:tcPr>
          <w:tcW w:w="0" w:type="pct"/>
        </w:tcPr>
        <w:p w14:paraId="1ED812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56C6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0BD4E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F39F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3215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3A3B" w14:paraId="2E5D8768" w14:textId="77777777" w:rsidTr="009C1E9A">
      <w:trPr>
        <w:cantSplit/>
      </w:trPr>
      <w:tc>
        <w:tcPr>
          <w:tcW w:w="0" w:type="pct"/>
        </w:tcPr>
        <w:p w14:paraId="3DD0B6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F62AFD" w14:textId="0FD16407" w:rsidR="00EC379B" w:rsidRPr="009C1E9A" w:rsidRDefault="00DF39F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21205</w:t>
          </w:r>
        </w:p>
      </w:tc>
      <w:tc>
        <w:tcPr>
          <w:tcW w:w="2453" w:type="pct"/>
        </w:tcPr>
        <w:p w14:paraId="20DBE143" w14:textId="09A78FAB" w:rsidR="00EC379B" w:rsidRDefault="00DF39F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B7555">
            <w:t>21.111.870</w:t>
          </w:r>
          <w:r>
            <w:fldChar w:fldCharType="end"/>
          </w:r>
        </w:p>
      </w:tc>
    </w:tr>
    <w:tr w:rsidR="009C3A3B" w14:paraId="7E420CD9" w14:textId="77777777" w:rsidTr="009C1E9A">
      <w:trPr>
        <w:cantSplit/>
      </w:trPr>
      <w:tc>
        <w:tcPr>
          <w:tcW w:w="0" w:type="pct"/>
        </w:tcPr>
        <w:p w14:paraId="55205FD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60AC59A" w14:textId="34B63565" w:rsidR="00EC379B" w:rsidRPr="009C1E9A" w:rsidRDefault="00DF39F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19983</w:t>
          </w:r>
        </w:p>
      </w:tc>
      <w:tc>
        <w:tcPr>
          <w:tcW w:w="2453" w:type="pct"/>
        </w:tcPr>
        <w:p w14:paraId="764B8BB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B3D005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3A3B" w14:paraId="786737D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6F3D07A" w14:textId="7105333E" w:rsidR="00EC379B" w:rsidRDefault="00DF39F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B755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91A4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D63FB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0F2B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8C836" w14:textId="77777777" w:rsidR="00000000" w:rsidRDefault="00DF39F9">
      <w:r>
        <w:separator/>
      </w:r>
    </w:p>
  </w:footnote>
  <w:footnote w:type="continuationSeparator" w:id="0">
    <w:p w14:paraId="0F34D862" w14:textId="77777777" w:rsidR="00000000" w:rsidRDefault="00DF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6559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1AFB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0B29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D35"/>
    <w:multiLevelType w:val="hybridMultilevel"/>
    <w:tmpl w:val="2F509AC8"/>
    <w:lvl w:ilvl="0" w:tplc="4508C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3E5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CA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E6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4B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03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02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65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ED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60983"/>
    <w:multiLevelType w:val="hybridMultilevel"/>
    <w:tmpl w:val="1332AB32"/>
    <w:lvl w:ilvl="0" w:tplc="42760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A4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62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C5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8B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867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2F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23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2A5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0EBC"/>
    <w:multiLevelType w:val="hybridMultilevel"/>
    <w:tmpl w:val="D0A835A0"/>
    <w:lvl w:ilvl="0" w:tplc="B0D2F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CF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4C1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CE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E9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EF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A0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AF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C9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66991"/>
    <w:multiLevelType w:val="hybridMultilevel"/>
    <w:tmpl w:val="7F2403C6"/>
    <w:lvl w:ilvl="0" w:tplc="5AC0E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6E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0A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E9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22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3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60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0A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52B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31527"/>
    <w:multiLevelType w:val="hybridMultilevel"/>
    <w:tmpl w:val="76DE95F4"/>
    <w:lvl w:ilvl="0" w:tplc="711CD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4C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E4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62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03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C4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C3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C6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82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B1516"/>
    <w:multiLevelType w:val="hybridMultilevel"/>
    <w:tmpl w:val="68B09BF8"/>
    <w:lvl w:ilvl="0" w:tplc="6100B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3A3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68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6F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6E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04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09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61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AF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E7"/>
    <w:rsid w:val="00000A70"/>
    <w:rsid w:val="000032B8"/>
    <w:rsid w:val="00003B06"/>
    <w:rsid w:val="000054B9"/>
    <w:rsid w:val="00007461"/>
    <w:rsid w:val="0001108A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4E7"/>
    <w:rsid w:val="00055C12"/>
    <w:rsid w:val="000608B0"/>
    <w:rsid w:val="00060DA4"/>
    <w:rsid w:val="0006104C"/>
    <w:rsid w:val="00064BF2"/>
    <w:rsid w:val="000667BA"/>
    <w:rsid w:val="000676A7"/>
    <w:rsid w:val="00073914"/>
    <w:rsid w:val="00074236"/>
    <w:rsid w:val="000746BD"/>
    <w:rsid w:val="00076149"/>
    <w:rsid w:val="00076D7D"/>
    <w:rsid w:val="00080D95"/>
    <w:rsid w:val="000820C5"/>
    <w:rsid w:val="00090E6B"/>
    <w:rsid w:val="00091B2C"/>
    <w:rsid w:val="00092ABC"/>
    <w:rsid w:val="00097AAF"/>
    <w:rsid w:val="00097D13"/>
    <w:rsid w:val="000A0C48"/>
    <w:rsid w:val="000A4893"/>
    <w:rsid w:val="000A54E0"/>
    <w:rsid w:val="000A72C4"/>
    <w:rsid w:val="000B0089"/>
    <w:rsid w:val="000B1486"/>
    <w:rsid w:val="000B3E61"/>
    <w:rsid w:val="000B5190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7F0"/>
    <w:rsid w:val="000F5843"/>
    <w:rsid w:val="000F6A06"/>
    <w:rsid w:val="0010154D"/>
    <w:rsid w:val="00102D3F"/>
    <w:rsid w:val="00102EC7"/>
    <w:rsid w:val="0010347D"/>
    <w:rsid w:val="00106F1F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594"/>
    <w:rsid w:val="00161E93"/>
    <w:rsid w:val="00162C7A"/>
    <w:rsid w:val="00162DAE"/>
    <w:rsid w:val="001639C5"/>
    <w:rsid w:val="00163E45"/>
    <w:rsid w:val="001664C2"/>
    <w:rsid w:val="00171BF2"/>
    <w:rsid w:val="00171DE9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0E18"/>
    <w:rsid w:val="001B26D8"/>
    <w:rsid w:val="001B3BFA"/>
    <w:rsid w:val="001B6535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3D01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364AF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1DC"/>
    <w:rsid w:val="00281343"/>
    <w:rsid w:val="00281883"/>
    <w:rsid w:val="002874E3"/>
    <w:rsid w:val="00287656"/>
    <w:rsid w:val="00291518"/>
    <w:rsid w:val="00296FF0"/>
    <w:rsid w:val="002A17C0"/>
    <w:rsid w:val="002A48DF"/>
    <w:rsid w:val="002A50B9"/>
    <w:rsid w:val="002A5A84"/>
    <w:rsid w:val="002A6E6F"/>
    <w:rsid w:val="002A74E4"/>
    <w:rsid w:val="002A7CFE"/>
    <w:rsid w:val="002B26DD"/>
    <w:rsid w:val="002B2870"/>
    <w:rsid w:val="002B391B"/>
    <w:rsid w:val="002B5B42"/>
    <w:rsid w:val="002B7555"/>
    <w:rsid w:val="002B7BA7"/>
    <w:rsid w:val="002C01B2"/>
    <w:rsid w:val="002C1C17"/>
    <w:rsid w:val="002C3203"/>
    <w:rsid w:val="002C3B07"/>
    <w:rsid w:val="002C532B"/>
    <w:rsid w:val="002C5713"/>
    <w:rsid w:val="002C589C"/>
    <w:rsid w:val="002D05CC"/>
    <w:rsid w:val="002D305A"/>
    <w:rsid w:val="002E21B8"/>
    <w:rsid w:val="002E3BB7"/>
    <w:rsid w:val="002E7DF9"/>
    <w:rsid w:val="002F00F4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4D3C"/>
    <w:rsid w:val="00314E0A"/>
    <w:rsid w:val="0031741B"/>
    <w:rsid w:val="00321337"/>
    <w:rsid w:val="00321F2F"/>
    <w:rsid w:val="003237F6"/>
    <w:rsid w:val="00324077"/>
    <w:rsid w:val="0032453B"/>
    <w:rsid w:val="003246E0"/>
    <w:rsid w:val="00324868"/>
    <w:rsid w:val="003305F5"/>
    <w:rsid w:val="00333930"/>
    <w:rsid w:val="003343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0345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4B5D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ECC"/>
    <w:rsid w:val="003D726D"/>
    <w:rsid w:val="003E0875"/>
    <w:rsid w:val="003E0BB8"/>
    <w:rsid w:val="003E297B"/>
    <w:rsid w:val="003E60B1"/>
    <w:rsid w:val="003E6230"/>
    <w:rsid w:val="003E6CB0"/>
    <w:rsid w:val="003F1F5E"/>
    <w:rsid w:val="003F286A"/>
    <w:rsid w:val="003F41D0"/>
    <w:rsid w:val="003F4525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37D"/>
    <w:rsid w:val="0042243A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6E08"/>
    <w:rsid w:val="00461B69"/>
    <w:rsid w:val="00462B3D"/>
    <w:rsid w:val="0046792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3284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7C2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D07"/>
    <w:rsid w:val="005269CE"/>
    <w:rsid w:val="005304B2"/>
    <w:rsid w:val="005336BD"/>
    <w:rsid w:val="00534A49"/>
    <w:rsid w:val="005363BB"/>
    <w:rsid w:val="00541B98"/>
    <w:rsid w:val="00542EF5"/>
    <w:rsid w:val="00543374"/>
    <w:rsid w:val="00545548"/>
    <w:rsid w:val="00546923"/>
    <w:rsid w:val="00551CA6"/>
    <w:rsid w:val="00553D2F"/>
    <w:rsid w:val="00555034"/>
    <w:rsid w:val="005570D2"/>
    <w:rsid w:val="00557EAC"/>
    <w:rsid w:val="0056153F"/>
    <w:rsid w:val="00561B14"/>
    <w:rsid w:val="00562C87"/>
    <w:rsid w:val="005636BD"/>
    <w:rsid w:val="005666D5"/>
    <w:rsid w:val="005669A7"/>
    <w:rsid w:val="00572E2A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4BB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B2A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864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75E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6C3"/>
    <w:rsid w:val="0077098E"/>
    <w:rsid w:val="00771287"/>
    <w:rsid w:val="0077149E"/>
    <w:rsid w:val="00777518"/>
    <w:rsid w:val="0077779E"/>
    <w:rsid w:val="00780FB6"/>
    <w:rsid w:val="007832A1"/>
    <w:rsid w:val="0078552A"/>
    <w:rsid w:val="00785729"/>
    <w:rsid w:val="00786058"/>
    <w:rsid w:val="0079487D"/>
    <w:rsid w:val="007966D4"/>
    <w:rsid w:val="00796A0A"/>
    <w:rsid w:val="007974F8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81A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4B18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360"/>
    <w:rsid w:val="009037FD"/>
    <w:rsid w:val="00903E0A"/>
    <w:rsid w:val="00904721"/>
    <w:rsid w:val="00907780"/>
    <w:rsid w:val="00907EDD"/>
    <w:rsid w:val="009107AD"/>
    <w:rsid w:val="00915568"/>
    <w:rsid w:val="00915DA1"/>
    <w:rsid w:val="009178B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1A58"/>
    <w:rsid w:val="0098285C"/>
    <w:rsid w:val="00983B56"/>
    <w:rsid w:val="009847FD"/>
    <w:rsid w:val="009851B3"/>
    <w:rsid w:val="00985300"/>
    <w:rsid w:val="00985498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A3B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B8F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752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51E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A7ED0"/>
    <w:rsid w:val="00AB1655"/>
    <w:rsid w:val="00AB1873"/>
    <w:rsid w:val="00AB2C05"/>
    <w:rsid w:val="00AB3536"/>
    <w:rsid w:val="00AB474B"/>
    <w:rsid w:val="00AB5CCC"/>
    <w:rsid w:val="00AB60D9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846"/>
    <w:rsid w:val="00AE77E4"/>
    <w:rsid w:val="00AF1433"/>
    <w:rsid w:val="00AF48B4"/>
    <w:rsid w:val="00AF4923"/>
    <w:rsid w:val="00AF566E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1DD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AC5"/>
    <w:rsid w:val="00BE3634"/>
    <w:rsid w:val="00BE3E30"/>
    <w:rsid w:val="00BE5274"/>
    <w:rsid w:val="00BE71CD"/>
    <w:rsid w:val="00BE7748"/>
    <w:rsid w:val="00BE7BDA"/>
    <w:rsid w:val="00BF0548"/>
    <w:rsid w:val="00BF1F1D"/>
    <w:rsid w:val="00BF4949"/>
    <w:rsid w:val="00BF4D7C"/>
    <w:rsid w:val="00BF5085"/>
    <w:rsid w:val="00C013F4"/>
    <w:rsid w:val="00C040AB"/>
    <w:rsid w:val="00C042FA"/>
    <w:rsid w:val="00C0499B"/>
    <w:rsid w:val="00C05406"/>
    <w:rsid w:val="00C05CF0"/>
    <w:rsid w:val="00C067F5"/>
    <w:rsid w:val="00C116F3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795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B6B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151"/>
    <w:rsid w:val="00C9047F"/>
    <w:rsid w:val="00C91F65"/>
    <w:rsid w:val="00C92310"/>
    <w:rsid w:val="00C95150"/>
    <w:rsid w:val="00C95A73"/>
    <w:rsid w:val="00C960C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0A6D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7FF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51A"/>
    <w:rsid w:val="00DE49DE"/>
    <w:rsid w:val="00DE618B"/>
    <w:rsid w:val="00DE6EC2"/>
    <w:rsid w:val="00DF0834"/>
    <w:rsid w:val="00DF2707"/>
    <w:rsid w:val="00DF39F9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2AF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1BA8"/>
    <w:rsid w:val="00E8272C"/>
    <w:rsid w:val="00E827C7"/>
    <w:rsid w:val="00E85DBD"/>
    <w:rsid w:val="00E8752E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B5B"/>
    <w:rsid w:val="00EA658E"/>
    <w:rsid w:val="00EA7A88"/>
    <w:rsid w:val="00EB27F2"/>
    <w:rsid w:val="00EB3928"/>
    <w:rsid w:val="00EB5373"/>
    <w:rsid w:val="00EC02A2"/>
    <w:rsid w:val="00EC0B8F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16E"/>
    <w:rsid w:val="00F02457"/>
    <w:rsid w:val="00F036C3"/>
    <w:rsid w:val="00F0417E"/>
    <w:rsid w:val="00F05397"/>
    <w:rsid w:val="00F0638C"/>
    <w:rsid w:val="00F11E04"/>
    <w:rsid w:val="00F12B24"/>
    <w:rsid w:val="00F12BC7"/>
    <w:rsid w:val="00F13210"/>
    <w:rsid w:val="00F15223"/>
    <w:rsid w:val="00F164B4"/>
    <w:rsid w:val="00F16539"/>
    <w:rsid w:val="00F176E4"/>
    <w:rsid w:val="00F20E5F"/>
    <w:rsid w:val="00F2469C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70C"/>
    <w:rsid w:val="00F45AFC"/>
    <w:rsid w:val="00F462F4"/>
    <w:rsid w:val="00F50130"/>
    <w:rsid w:val="00F52402"/>
    <w:rsid w:val="00F5605D"/>
    <w:rsid w:val="00F63562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3BB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BBB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2840B2-372C-4B25-852A-53E0CBC3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E60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6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60B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60B1"/>
    <w:rPr>
      <w:b/>
      <w:bCs/>
    </w:rPr>
  </w:style>
  <w:style w:type="paragraph" w:styleId="ListParagraph">
    <w:name w:val="List Paragraph"/>
    <w:basedOn w:val="Normal"/>
    <w:uiPriority w:val="34"/>
    <w:qFormat/>
    <w:rsid w:val="00C40795"/>
    <w:pPr>
      <w:ind w:left="720"/>
      <w:contextualSpacing/>
    </w:pPr>
  </w:style>
  <w:style w:type="character" w:styleId="Hyperlink">
    <w:name w:val="Hyperlink"/>
    <w:basedOn w:val="DefaultParagraphFont"/>
    <w:unhideWhenUsed/>
    <w:rsid w:val="00AE68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06F1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60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</Words>
  <Characters>6423</Characters>
  <Application>Microsoft Office Word</Application>
  <DocSecurity>4</DocSecurity>
  <Lines>136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HB01838 (Committee Report (Substituted))</vt:lpstr>
    </vt:vector>
  </TitlesOfParts>
  <Company>State of Texas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21205</dc:subject>
  <dc:creator>State of Texas</dc:creator>
  <dc:description>HB 1838 by González, Mary-(H)Homeland Security &amp; Public Safety (Substitute Document Number: 87R 19983)</dc:description>
  <cp:lastModifiedBy>Stacey Nicchio</cp:lastModifiedBy>
  <cp:revision>2</cp:revision>
  <cp:lastPrinted>2003-11-26T17:21:00Z</cp:lastPrinted>
  <dcterms:created xsi:type="dcterms:W3CDTF">2021-04-22T21:06:00Z</dcterms:created>
  <dcterms:modified xsi:type="dcterms:W3CDTF">2021-04-22T21:06:00Z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21.111.870</vt:lpwstr>
  </property>
</Properties>
</file>