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7792A" w14:paraId="74099C33" w14:textId="77777777" w:rsidTr="00345119">
        <w:tc>
          <w:tcPr>
            <w:tcW w:w="9576" w:type="dxa"/>
            <w:noWrap/>
          </w:tcPr>
          <w:p w14:paraId="0712B72B" w14:textId="77777777" w:rsidR="008423E4" w:rsidRPr="0022177D" w:rsidRDefault="00870CBE" w:rsidP="00E663C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FBA377B" w14:textId="77777777" w:rsidR="008423E4" w:rsidRPr="0022177D" w:rsidRDefault="008423E4" w:rsidP="00E663C5">
      <w:pPr>
        <w:jc w:val="center"/>
      </w:pPr>
    </w:p>
    <w:p w14:paraId="15EF3357" w14:textId="77777777" w:rsidR="008423E4" w:rsidRPr="00B31F0E" w:rsidRDefault="008423E4" w:rsidP="00E663C5"/>
    <w:p w14:paraId="1491594A" w14:textId="77777777" w:rsidR="008423E4" w:rsidRPr="00742794" w:rsidRDefault="008423E4" w:rsidP="00E663C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792A" w14:paraId="57A8916B" w14:textId="77777777" w:rsidTr="00345119">
        <w:tc>
          <w:tcPr>
            <w:tcW w:w="9576" w:type="dxa"/>
          </w:tcPr>
          <w:p w14:paraId="271B26B4" w14:textId="036217C3" w:rsidR="008423E4" w:rsidRPr="00861995" w:rsidRDefault="00870CBE" w:rsidP="00E663C5">
            <w:pPr>
              <w:jc w:val="right"/>
            </w:pPr>
            <w:r>
              <w:t>H.B. 1842</w:t>
            </w:r>
          </w:p>
        </w:tc>
      </w:tr>
      <w:tr w:rsidR="0007792A" w14:paraId="363F6C45" w14:textId="77777777" w:rsidTr="00345119">
        <w:tc>
          <w:tcPr>
            <w:tcW w:w="9576" w:type="dxa"/>
          </w:tcPr>
          <w:p w14:paraId="78DFA164" w14:textId="70C17D5F" w:rsidR="008423E4" w:rsidRPr="00861995" w:rsidRDefault="00870CBE" w:rsidP="00E663C5">
            <w:pPr>
              <w:jc w:val="right"/>
            </w:pPr>
            <w:r>
              <w:t xml:space="preserve">By: </w:t>
            </w:r>
            <w:r w:rsidR="006A04E3">
              <w:t>Lozano</w:t>
            </w:r>
          </w:p>
        </w:tc>
      </w:tr>
      <w:tr w:rsidR="0007792A" w14:paraId="6032E9BF" w14:textId="77777777" w:rsidTr="00345119">
        <w:tc>
          <w:tcPr>
            <w:tcW w:w="9576" w:type="dxa"/>
          </w:tcPr>
          <w:p w14:paraId="3A295F1F" w14:textId="3D5F256C" w:rsidR="008423E4" w:rsidRPr="00861995" w:rsidRDefault="00870CBE" w:rsidP="00E663C5">
            <w:pPr>
              <w:jc w:val="right"/>
            </w:pPr>
            <w:r>
              <w:t>State Affairs</w:t>
            </w:r>
          </w:p>
        </w:tc>
      </w:tr>
      <w:tr w:rsidR="0007792A" w14:paraId="1A6FF6D3" w14:textId="77777777" w:rsidTr="00345119">
        <w:tc>
          <w:tcPr>
            <w:tcW w:w="9576" w:type="dxa"/>
          </w:tcPr>
          <w:p w14:paraId="1C3E3B27" w14:textId="7ADCDD0C" w:rsidR="008423E4" w:rsidRDefault="00870CBE" w:rsidP="00E663C5">
            <w:pPr>
              <w:jc w:val="right"/>
            </w:pPr>
            <w:r>
              <w:t>Committee Report (Unamended)</w:t>
            </w:r>
          </w:p>
        </w:tc>
      </w:tr>
    </w:tbl>
    <w:p w14:paraId="545CC435" w14:textId="77777777" w:rsidR="008423E4" w:rsidRDefault="008423E4" w:rsidP="00E663C5">
      <w:pPr>
        <w:tabs>
          <w:tab w:val="right" w:pos="9360"/>
        </w:tabs>
      </w:pPr>
    </w:p>
    <w:p w14:paraId="05E01101" w14:textId="77777777" w:rsidR="008423E4" w:rsidRDefault="008423E4" w:rsidP="00E663C5"/>
    <w:p w14:paraId="7FF90E7A" w14:textId="77777777" w:rsidR="008423E4" w:rsidRDefault="008423E4" w:rsidP="00E663C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7792A" w14:paraId="4DCDD694" w14:textId="77777777" w:rsidTr="00345119">
        <w:tc>
          <w:tcPr>
            <w:tcW w:w="9576" w:type="dxa"/>
          </w:tcPr>
          <w:p w14:paraId="10AD6A97" w14:textId="77777777" w:rsidR="008423E4" w:rsidRPr="00A8133F" w:rsidRDefault="00870CBE" w:rsidP="00E663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7DED787" w14:textId="77777777" w:rsidR="008423E4" w:rsidRDefault="008423E4" w:rsidP="00E663C5"/>
          <w:p w14:paraId="6AFF4A7B" w14:textId="186131C4" w:rsidR="008423E4" w:rsidRDefault="00870CBE" w:rsidP="00E66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Last year, a</w:t>
            </w:r>
            <w:r w:rsidRPr="00AC133C">
              <w:t xml:space="preserve"> wind turbine owned by Apex Clean Energy caught on fire </w:t>
            </w:r>
            <w:r>
              <w:t>in an area between the Cities of Taft and Portland. It was reported that</w:t>
            </w:r>
            <w:r w:rsidRPr="00AC133C">
              <w:t xml:space="preserve"> the first responders on the scene </w:t>
            </w:r>
            <w:r>
              <w:t>could not readily find</w:t>
            </w:r>
            <w:r w:rsidRPr="00AC133C">
              <w:t xml:space="preserve"> contact information</w:t>
            </w:r>
            <w:r>
              <w:t xml:space="preserve"> for the owner or operator of the facility</w:t>
            </w:r>
            <w:r w:rsidRPr="00AC133C">
              <w:t xml:space="preserve">. </w:t>
            </w:r>
            <w:r>
              <w:t>This increased the danger faced by first responders as n</w:t>
            </w:r>
            <w:r w:rsidRPr="00AC133C">
              <w:t xml:space="preserve">ot only </w:t>
            </w:r>
            <w:r>
              <w:t>did they need to inform th</w:t>
            </w:r>
            <w:r w:rsidR="00F26279">
              <w:t>at</w:t>
            </w:r>
            <w:r>
              <w:t xml:space="preserve"> </w:t>
            </w:r>
            <w:r w:rsidR="00F26279">
              <w:t>person</w:t>
            </w:r>
            <w:r>
              <w:t xml:space="preserve"> of the incident</w:t>
            </w:r>
            <w:r w:rsidRPr="00AC133C">
              <w:t xml:space="preserve"> but </w:t>
            </w:r>
            <w:r>
              <w:t xml:space="preserve">they needed to </w:t>
            </w:r>
            <w:r w:rsidR="006A04E3">
              <w:t xml:space="preserve">obtain information regarding whether </w:t>
            </w:r>
            <w:r w:rsidRPr="00AC133C">
              <w:t xml:space="preserve">electricity remained active in the structure </w:t>
            </w:r>
            <w:r w:rsidR="006A04E3">
              <w:t>and could potentially exacerbate the turbine damage</w:t>
            </w:r>
            <w:r w:rsidRPr="00AC133C">
              <w:t>. H</w:t>
            </w:r>
            <w:r w:rsidR="006A04E3">
              <w:t>.</w:t>
            </w:r>
            <w:r w:rsidRPr="00AC133C">
              <w:t>B</w:t>
            </w:r>
            <w:r w:rsidR="006A04E3">
              <w:t>.</w:t>
            </w:r>
            <w:r w:rsidRPr="00AC133C">
              <w:t xml:space="preserve"> 1842 seeks to remedy</w:t>
            </w:r>
            <w:r w:rsidR="006A04E3">
              <w:t xml:space="preserve"> this issue by requiring</w:t>
            </w:r>
            <w:r w:rsidRPr="00AC133C">
              <w:t xml:space="preserve"> the </w:t>
            </w:r>
            <w:r w:rsidR="006A04E3">
              <w:t>operator of</w:t>
            </w:r>
            <w:r w:rsidRPr="00AC133C">
              <w:t xml:space="preserve"> a wind turbine </w:t>
            </w:r>
            <w:r w:rsidR="006A04E3">
              <w:t>to post signs at the public entrances to the facility that include certain information, including emergency contact information</w:t>
            </w:r>
            <w:r w:rsidRPr="00AC133C">
              <w:t>.</w:t>
            </w:r>
          </w:p>
          <w:p w14:paraId="5ED934DC" w14:textId="77777777" w:rsidR="008423E4" w:rsidRPr="00E26B13" w:rsidRDefault="008423E4" w:rsidP="00E663C5">
            <w:pPr>
              <w:rPr>
                <w:b/>
              </w:rPr>
            </w:pPr>
          </w:p>
        </w:tc>
      </w:tr>
      <w:tr w:rsidR="0007792A" w14:paraId="510F5171" w14:textId="77777777" w:rsidTr="00345119">
        <w:tc>
          <w:tcPr>
            <w:tcW w:w="9576" w:type="dxa"/>
          </w:tcPr>
          <w:p w14:paraId="6CADD2DD" w14:textId="77777777" w:rsidR="0017725B" w:rsidRDefault="00870CBE" w:rsidP="00E663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37F6617" w14:textId="77777777" w:rsidR="0017725B" w:rsidRDefault="0017725B" w:rsidP="00E663C5">
            <w:pPr>
              <w:rPr>
                <w:b/>
                <w:u w:val="single"/>
              </w:rPr>
            </w:pPr>
          </w:p>
          <w:p w14:paraId="297C594C" w14:textId="77777777" w:rsidR="00286EA2" w:rsidRPr="00286EA2" w:rsidRDefault="00870CBE" w:rsidP="00E663C5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227A8364" w14:textId="77777777" w:rsidR="0017725B" w:rsidRPr="0017725B" w:rsidRDefault="0017725B" w:rsidP="00E663C5">
            <w:pPr>
              <w:rPr>
                <w:b/>
                <w:u w:val="single"/>
              </w:rPr>
            </w:pPr>
          </w:p>
        </w:tc>
      </w:tr>
      <w:tr w:rsidR="0007792A" w14:paraId="373CE66E" w14:textId="77777777" w:rsidTr="00345119">
        <w:tc>
          <w:tcPr>
            <w:tcW w:w="9576" w:type="dxa"/>
          </w:tcPr>
          <w:p w14:paraId="53B44C25" w14:textId="77777777" w:rsidR="008423E4" w:rsidRPr="00A8133F" w:rsidRDefault="00870CBE" w:rsidP="00E663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6D9F717" w14:textId="77777777" w:rsidR="008423E4" w:rsidRDefault="008423E4" w:rsidP="00E663C5"/>
          <w:p w14:paraId="32E90A6B" w14:textId="77777777" w:rsidR="00286EA2" w:rsidRDefault="00870CBE" w:rsidP="00E66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14:paraId="31417547" w14:textId="77777777" w:rsidR="008423E4" w:rsidRPr="00E21FDC" w:rsidRDefault="008423E4" w:rsidP="00E663C5">
            <w:pPr>
              <w:rPr>
                <w:b/>
              </w:rPr>
            </w:pPr>
          </w:p>
        </w:tc>
      </w:tr>
      <w:tr w:rsidR="0007792A" w14:paraId="549F3617" w14:textId="77777777" w:rsidTr="00345119">
        <w:tc>
          <w:tcPr>
            <w:tcW w:w="9576" w:type="dxa"/>
          </w:tcPr>
          <w:p w14:paraId="3660E84C" w14:textId="77777777" w:rsidR="008423E4" w:rsidRPr="00A8133F" w:rsidRDefault="00870CBE" w:rsidP="00E663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EBC7963" w14:textId="77777777" w:rsidR="008423E4" w:rsidRDefault="008423E4" w:rsidP="00E663C5"/>
          <w:p w14:paraId="5F899345" w14:textId="11EFFEF5" w:rsidR="005B3835" w:rsidRDefault="00870CBE" w:rsidP="00E66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1842 </w:t>
            </w:r>
            <w:r w:rsidRPr="005B3835">
              <w:t>amends the Utilities Code to</w:t>
            </w:r>
            <w:r>
              <w:t xml:space="preserve"> require an </w:t>
            </w:r>
            <w:r w:rsidRPr="005B3835">
              <w:t>operator of a wind power facility</w:t>
            </w:r>
            <w:r>
              <w:t xml:space="preserve"> to post a sign </w:t>
            </w:r>
            <w:r w:rsidRPr="005B3835">
              <w:t>in a conspicuous manner clearly visible to the public</w:t>
            </w:r>
            <w:r>
              <w:t xml:space="preserve"> </w:t>
            </w:r>
            <w:r w:rsidR="00884262" w:rsidRPr="00884262">
              <w:t xml:space="preserve">at each entrance to the facility </w:t>
            </w:r>
            <w:r>
              <w:t>that includes the following information:</w:t>
            </w:r>
          </w:p>
          <w:p w14:paraId="3BE3A2C5" w14:textId="3F14BB32" w:rsidR="005B3835" w:rsidRDefault="00870CBE" w:rsidP="00E663C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B3835">
              <w:t>the</w:t>
            </w:r>
            <w:r w:rsidR="002D3990">
              <w:t xml:space="preserve"> facility's</w:t>
            </w:r>
            <w:r w:rsidRPr="005B3835">
              <w:t xml:space="preserve"> name;</w:t>
            </w:r>
          </w:p>
          <w:p w14:paraId="26E83E34" w14:textId="195E495E" w:rsidR="005B3835" w:rsidRDefault="00870CBE" w:rsidP="00E663C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B3835">
              <w:t>the name of the</w:t>
            </w:r>
            <w:r w:rsidR="002D3990">
              <w:t xml:space="preserve"> facility's</w:t>
            </w:r>
            <w:r w:rsidRPr="005B3835">
              <w:t xml:space="preserve"> owner;</w:t>
            </w:r>
          </w:p>
          <w:p w14:paraId="36A7142D" w14:textId="51314F00" w:rsidR="005B3835" w:rsidRDefault="00870CBE" w:rsidP="00E663C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B3835">
              <w:t xml:space="preserve">the name, business address, and phone number of the </w:t>
            </w:r>
            <w:r w:rsidR="002D3990">
              <w:t xml:space="preserve">facility's </w:t>
            </w:r>
            <w:r w:rsidRPr="005B3835">
              <w:t>operator;</w:t>
            </w:r>
          </w:p>
          <w:p w14:paraId="42BDE088" w14:textId="77777777" w:rsidR="005B3835" w:rsidRDefault="00870CBE" w:rsidP="00E663C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B3835">
              <w:t>the number of acres in the lot on which the facility i</w:t>
            </w:r>
            <w:r w:rsidRPr="005B3835">
              <w:t>s located;</w:t>
            </w:r>
          </w:p>
          <w:p w14:paraId="095BA79D" w14:textId="77777777" w:rsidR="005B3835" w:rsidRDefault="00870CBE" w:rsidP="00E663C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B3835">
              <w:t>the county in which the sign is located; and</w:t>
            </w:r>
          </w:p>
          <w:p w14:paraId="1C39DC39" w14:textId="77777777" w:rsidR="005B3835" w:rsidRDefault="00870CBE" w:rsidP="00E663C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emergency contact information.</w:t>
            </w:r>
          </w:p>
          <w:p w14:paraId="731E2A26" w14:textId="77777777" w:rsidR="002D3990" w:rsidRDefault="00870CBE" w:rsidP="00E66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884262">
              <w:t>requires the sign to use contras</w:t>
            </w:r>
            <w:r>
              <w:t xml:space="preserve">ting colors </w:t>
            </w:r>
            <w:r w:rsidRPr="005B3835">
              <w:t>with block letters at least one inch in height</w:t>
            </w:r>
            <w:r w:rsidR="00884262">
              <w:t>.</w:t>
            </w:r>
            <w:r w:rsidR="00262422">
              <w:t xml:space="preserve"> </w:t>
            </w:r>
          </w:p>
          <w:p w14:paraId="3AB103BC" w14:textId="77777777" w:rsidR="002D3990" w:rsidRDefault="002D3990" w:rsidP="00E66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95D6945" w14:textId="6D5779F3" w:rsidR="002D3990" w:rsidRDefault="00870CBE" w:rsidP="00E66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 w:rsidR="00884262">
              <w:t xml:space="preserve"> </w:t>
            </w:r>
            <w:r>
              <w:t xml:space="preserve">1842 </w:t>
            </w:r>
            <w:r w:rsidR="00884262" w:rsidRPr="00884262">
              <w:t>authorize</w:t>
            </w:r>
            <w:r w:rsidR="00884262">
              <w:t>s</w:t>
            </w:r>
            <w:r w:rsidR="00884262" w:rsidRPr="00884262">
              <w:t xml:space="preserve"> the Public U</w:t>
            </w:r>
            <w:r w:rsidR="00286EA2">
              <w:t>tility Commission of Texas</w:t>
            </w:r>
            <w:r>
              <w:t xml:space="preserve"> (PUC)</w:t>
            </w:r>
            <w:r w:rsidR="00286EA2">
              <w:t xml:space="preserve"> </w:t>
            </w:r>
            <w:r w:rsidR="00884262" w:rsidRPr="00884262">
              <w:t xml:space="preserve">to </w:t>
            </w:r>
            <w:r>
              <w:t>do the following:</w:t>
            </w:r>
          </w:p>
          <w:p w14:paraId="56888D6A" w14:textId="0561D3FD" w:rsidR="002D3990" w:rsidRDefault="00870CBE" w:rsidP="00E663C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884262">
              <w:t>regulate a wind power facility as necessary to carry out the PUC's duties</w:t>
            </w:r>
            <w:r>
              <w:t xml:space="preserve"> under the bill</w:t>
            </w:r>
            <w:r w:rsidRPr="00884262">
              <w:t xml:space="preserve"> regarding</w:t>
            </w:r>
            <w:r w:rsidR="00286EA2">
              <w:t xml:space="preserve"> the sign</w:t>
            </w:r>
            <w:r>
              <w:t>age</w:t>
            </w:r>
            <w:r w:rsidR="00286EA2">
              <w:t xml:space="preserve"> requirements</w:t>
            </w:r>
            <w:r>
              <w:t>;</w:t>
            </w:r>
            <w:r w:rsidR="00286EA2">
              <w:t xml:space="preserve"> and</w:t>
            </w:r>
          </w:p>
          <w:p w14:paraId="208B72BA" w14:textId="77777777" w:rsidR="008423E4" w:rsidRDefault="00870CBE" w:rsidP="00E663C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enforce the </w:t>
            </w:r>
            <w:r w:rsidR="002D3990">
              <w:t xml:space="preserve">bill's provisions </w:t>
            </w:r>
            <w:r>
              <w:t>in the manner provided for the administrative enforcement</w:t>
            </w:r>
            <w:r w:rsidR="00B55CB1">
              <w:t xml:space="preserve"> provisions</w:t>
            </w:r>
            <w:r>
              <w:t xml:space="preserve"> of the Public Utility Regulatory Act. </w:t>
            </w:r>
          </w:p>
          <w:p w14:paraId="1F5D2D4A" w14:textId="37BB1E70" w:rsidR="00E663C5" w:rsidRPr="00884262" w:rsidRDefault="00E663C5" w:rsidP="00E66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7792A" w14:paraId="195301D4" w14:textId="77777777" w:rsidTr="00345119">
        <w:tc>
          <w:tcPr>
            <w:tcW w:w="9576" w:type="dxa"/>
          </w:tcPr>
          <w:p w14:paraId="7AEAF1C2" w14:textId="77777777" w:rsidR="008423E4" w:rsidRPr="00A8133F" w:rsidRDefault="00870CBE" w:rsidP="00E663C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249A4C7" w14:textId="77777777" w:rsidR="008423E4" w:rsidRDefault="008423E4" w:rsidP="00E663C5"/>
          <w:p w14:paraId="700F62ED" w14:textId="280C185C" w:rsidR="008423E4" w:rsidRPr="00E663C5" w:rsidRDefault="00870CBE" w:rsidP="00E66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0166E1C1" w14:textId="78F2BF8E" w:rsidR="004108C3" w:rsidRPr="008423E4" w:rsidRDefault="004108C3" w:rsidP="00E663C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C87D0" w14:textId="77777777" w:rsidR="00000000" w:rsidRDefault="00870CBE">
      <w:r>
        <w:separator/>
      </w:r>
    </w:p>
  </w:endnote>
  <w:endnote w:type="continuationSeparator" w:id="0">
    <w:p w14:paraId="31457981" w14:textId="77777777" w:rsidR="00000000" w:rsidRDefault="0087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F322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792A" w14:paraId="060AD2B4" w14:textId="77777777" w:rsidTr="009C1E9A">
      <w:trPr>
        <w:cantSplit/>
      </w:trPr>
      <w:tc>
        <w:tcPr>
          <w:tcW w:w="0" w:type="pct"/>
        </w:tcPr>
        <w:p w14:paraId="2D477A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3DE6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CD383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F38B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3E53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92A" w14:paraId="2C6B1CAF" w14:textId="77777777" w:rsidTr="009C1E9A">
      <w:trPr>
        <w:cantSplit/>
      </w:trPr>
      <w:tc>
        <w:tcPr>
          <w:tcW w:w="0" w:type="pct"/>
        </w:tcPr>
        <w:p w14:paraId="6841EA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D10988" w14:textId="15D52FB7" w:rsidR="00EC379B" w:rsidRPr="009C1E9A" w:rsidRDefault="00870C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22892</w:t>
          </w:r>
        </w:p>
      </w:tc>
      <w:tc>
        <w:tcPr>
          <w:tcW w:w="2453" w:type="pct"/>
        </w:tcPr>
        <w:p w14:paraId="4567711C" w14:textId="63BEE0A7" w:rsidR="00EC379B" w:rsidRDefault="00870C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A24A8">
            <w:t>21.117.2320</w:t>
          </w:r>
          <w:r>
            <w:fldChar w:fldCharType="end"/>
          </w:r>
        </w:p>
      </w:tc>
    </w:tr>
    <w:tr w:rsidR="0007792A" w14:paraId="417D1F33" w14:textId="77777777" w:rsidTr="009C1E9A">
      <w:trPr>
        <w:cantSplit/>
      </w:trPr>
      <w:tc>
        <w:tcPr>
          <w:tcW w:w="0" w:type="pct"/>
        </w:tcPr>
        <w:p w14:paraId="2438336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19ABE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2E36A9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97D28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92A" w14:paraId="7353037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822B11B" w14:textId="4E22F821" w:rsidR="00EC379B" w:rsidRDefault="00870C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663C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5F140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2B9564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BAB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2638" w14:textId="77777777" w:rsidR="00000000" w:rsidRDefault="00870CBE">
      <w:r>
        <w:separator/>
      </w:r>
    </w:p>
  </w:footnote>
  <w:footnote w:type="continuationSeparator" w:id="0">
    <w:p w14:paraId="74DF9216" w14:textId="77777777" w:rsidR="00000000" w:rsidRDefault="0087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753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001E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9A8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3138D"/>
    <w:multiLevelType w:val="hybridMultilevel"/>
    <w:tmpl w:val="8EE42BBC"/>
    <w:lvl w:ilvl="0" w:tplc="FD86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C1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AF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4A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47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8D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AF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C3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6F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94237"/>
    <w:multiLevelType w:val="hybridMultilevel"/>
    <w:tmpl w:val="F10E4FAC"/>
    <w:lvl w:ilvl="0" w:tplc="8662B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23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2A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42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89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C8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6B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CF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44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0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92A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E00"/>
    <w:rsid w:val="001A0739"/>
    <w:rsid w:val="001A0F00"/>
    <w:rsid w:val="001A2BDD"/>
    <w:rsid w:val="001A3DDF"/>
    <w:rsid w:val="001A4310"/>
    <w:rsid w:val="001A7271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422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577"/>
    <w:rsid w:val="00286EA2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990"/>
    <w:rsid w:val="002E21B8"/>
    <w:rsid w:val="002E4755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4A8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835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4E3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0D2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CBE"/>
    <w:rsid w:val="00871775"/>
    <w:rsid w:val="00871AEF"/>
    <w:rsid w:val="008726E5"/>
    <w:rsid w:val="0087289E"/>
    <w:rsid w:val="00874C05"/>
    <w:rsid w:val="0087680A"/>
    <w:rsid w:val="008806EB"/>
    <w:rsid w:val="008826F2"/>
    <w:rsid w:val="0088426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8A2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968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33C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CB1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1C10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D5D"/>
    <w:rsid w:val="00E61159"/>
    <w:rsid w:val="00E625DA"/>
    <w:rsid w:val="00E634DC"/>
    <w:rsid w:val="00E663C5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279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413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52E3C8-72B8-42D3-91B4-DC0D689C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38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8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3835"/>
    <w:rPr>
      <w:b/>
      <w:bCs/>
    </w:rPr>
  </w:style>
  <w:style w:type="character" w:styleId="Hyperlink">
    <w:name w:val="Hyperlink"/>
    <w:basedOn w:val="DefaultParagraphFont"/>
    <w:unhideWhenUsed/>
    <w:rsid w:val="00AC1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26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1954</Characters>
  <Application>Microsoft Office Word</Application>
  <DocSecurity>4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HB01842 (Committee Report (Unamended))</vt:lpstr>
    </vt:vector>
  </TitlesOfParts>
  <Company>State of Texas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22892</dc:subject>
  <dc:creator>State of Texas</dc:creator>
  <dc:description>HB 1842 by Lozano-(H)State Affairs</dc:description>
  <cp:lastModifiedBy>Stacey Nicchio</cp:lastModifiedBy>
  <cp:revision>2</cp:revision>
  <cp:lastPrinted>2003-11-26T17:21:00Z</cp:lastPrinted>
  <dcterms:created xsi:type="dcterms:W3CDTF">2021-04-29T23:22:00Z</dcterms:created>
  <dcterms:modified xsi:type="dcterms:W3CDTF">2021-04-29T23:22:00Z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21.117.2320</vt:lpwstr>
  </property>
</Properties>
</file>