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5FB3" w14:paraId="122514C4" w14:textId="77777777" w:rsidTr="00345119">
        <w:tc>
          <w:tcPr>
            <w:tcW w:w="9576" w:type="dxa"/>
            <w:noWrap/>
          </w:tcPr>
          <w:p w14:paraId="79CB9521" w14:textId="77777777" w:rsidR="008423E4" w:rsidRPr="0022177D" w:rsidRDefault="00554A4F" w:rsidP="00063CD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9A6DC2" w14:textId="77777777" w:rsidR="008423E4" w:rsidRPr="0022177D" w:rsidRDefault="008423E4" w:rsidP="00063CDC">
      <w:pPr>
        <w:jc w:val="center"/>
      </w:pPr>
    </w:p>
    <w:p w14:paraId="46717B0D" w14:textId="77777777" w:rsidR="008423E4" w:rsidRPr="00B31F0E" w:rsidRDefault="008423E4" w:rsidP="00063CDC"/>
    <w:p w14:paraId="0A8A77D2" w14:textId="77777777" w:rsidR="008423E4" w:rsidRPr="00742794" w:rsidRDefault="008423E4" w:rsidP="00063C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FB3" w14:paraId="50783267" w14:textId="77777777" w:rsidTr="00345119">
        <w:tc>
          <w:tcPr>
            <w:tcW w:w="9576" w:type="dxa"/>
          </w:tcPr>
          <w:p w14:paraId="7D235B72" w14:textId="2A7CB7AE" w:rsidR="008423E4" w:rsidRPr="00861995" w:rsidRDefault="00554A4F" w:rsidP="00063CDC">
            <w:pPr>
              <w:jc w:val="right"/>
            </w:pPr>
            <w:r>
              <w:t>C.S.H.B. 1853</w:t>
            </w:r>
          </w:p>
        </w:tc>
      </w:tr>
      <w:tr w:rsidR="00A95FB3" w14:paraId="61B2EEAE" w14:textId="77777777" w:rsidTr="00345119">
        <w:tc>
          <w:tcPr>
            <w:tcW w:w="9576" w:type="dxa"/>
          </w:tcPr>
          <w:p w14:paraId="2E327B5A" w14:textId="4A9D56DF" w:rsidR="008423E4" w:rsidRPr="00861995" w:rsidRDefault="00554A4F" w:rsidP="00063CDC">
            <w:pPr>
              <w:jc w:val="right"/>
            </w:pPr>
            <w:r>
              <w:t xml:space="preserve">By: </w:t>
            </w:r>
            <w:r w:rsidR="00AA5946">
              <w:t>Sanford</w:t>
            </w:r>
          </w:p>
        </w:tc>
      </w:tr>
      <w:tr w:rsidR="00A95FB3" w14:paraId="22CCE1CA" w14:textId="77777777" w:rsidTr="00345119">
        <w:tc>
          <w:tcPr>
            <w:tcW w:w="9576" w:type="dxa"/>
          </w:tcPr>
          <w:p w14:paraId="287B71E3" w14:textId="0459A2F9" w:rsidR="008423E4" w:rsidRPr="00861995" w:rsidRDefault="00554A4F" w:rsidP="00063CDC">
            <w:pPr>
              <w:jc w:val="right"/>
            </w:pPr>
            <w:r>
              <w:t>Urban Affairs</w:t>
            </w:r>
          </w:p>
        </w:tc>
      </w:tr>
      <w:tr w:rsidR="00A95FB3" w14:paraId="52B55B00" w14:textId="77777777" w:rsidTr="00345119">
        <w:tc>
          <w:tcPr>
            <w:tcW w:w="9576" w:type="dxa"/>
          </w:tcPr>
          <w:p w14:paraId="28FED16F" w14:textId="55CAC5AE" w:rsidR="008423E4" w:rsidRDefault="00554A4F" w:rsidP="00063CDC">
            <w:pPr>
              <w:jc w:val="right"/>
            </w:pPr>
            <w:r>
              <w:t>Committee Report (Substituted)</w:t>
            </w:r>
          </w:p>
        </w:tc>
      </w:tr>
    </w:tbl>
    <w:p w14:paraId="1270FA60" w14:textId="77777777" w:rsidR="008423E4" w:rsidRDefault="008423E4" w:rsidP="00063CDC">
      <w:pPr>
        <w:tabs>
          <w:tab w:val="right" w:pos="9360"/>
        </w:tabs>
      </w:pPr>
    </w:p>
    <w:p w14:paraId="1341F385" w14:textId="77777777" w:rsidR="008423E4" w:rsidRDefault="008423E4" w:rsidP="00063CDC"/>
    <w:p w14:paraId="6427E319" w14:textId="77777777" w:rsidR="008423E4" w:rsidRDefault="008423E4" w:rsidP="00063C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5FB3" w14:paraId="2BE1B00D" w14:textId="77777777" w:rsidTr="00345119">
        <w:tc>
          <w:tcPr>
            <w:tcW w:w="9576" w:type="dxa"/>
          </w:tcPr>
          <w:p w14:paraId="69400F3F" w14:textId="77777777" w:rsidR="008423E4" w:rsidRPr="00A8133F" w:rsidRDefault="00554A4F" w:rsidP="00063C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95C392" w14:textId="77777777" w:rsidR="008423E4" w:rsidRDefault="008423E4" w:rsidP="00063CDC"/>
          <w:p w14:paraId="6F793638" w14:textId="279925CA" w:rsidR="004610B2" w:rsidRDefault="00554A4F" w:rsidP="00063CDC">
            <w:pPr>
              <w:pStyle w:val="Header"/>
              <w:jc w:val="both"/>
            </w:pPr>
            <w:r>
              <w:t xml:space="preserve">The </w:t>
            </w:r>
            <w:r w:rsidR="00857614">
              <w:t>l</w:t>
            </w:r>
            <w:r>
              <w:t>ow</w:t>
            </w:r>
            <w:r w:rsidR="00857614">
              <w:t xml:space="preserve"> i</w:t>
            </w:r>
            <w:r>
              <w:t xml:space="preserve">ncome </w:t>
            </w:r>
            <w:r w:rsidR="00857614">
              <w:t>h</w:t>
            </w:r>
            <w:r>
              <w:t xml:space="preserve">ousing </w:t>
            </w:r>
            <w:r w:rsidR="00857614">
              <w:t>t</w:t>
            </w:r>
            <w:r>
              <w:t xml:space="preserve">ax </w:t>
            </w:r>
            <w:r w:rsidR="00857614">
              <w:t>c</w:t>
            </w:r>
            <w:r>
              <w:t>redit</w:t>
            </w:r>
            <w:r w:rsidR="00857614">
              <w:t xml:space="preserve"> </w:t>
            </w:r>
            <w:r>
              <w:t>program administered by the Texas Department of Housing and Community Affairs (TDHCA) is a public-private partnership program that provides a federal income tax credit for the purpose of generating private equity investment for the construction of affordab</w:t>
            </w:r>
            <w:r>
              <w:t xml:space="preserve">le housing developments. </w:t>
            </w:r>
            <w:r w:rsidR="00810BFA">
              <w:t>In applying for</w:t>
            </w:r>
            <w:r w:rsidRPr="004610B2">
              <w:t xml:space="preserve"> the</w:t>
            </w:r>
            <w:r w:rsidR="00810BFA">
              <w:t>se</w:t>
            </w:r>
            <w:r w:rsidRPr="004610B2">
              <w:t xml:space="preserve"> tax credit</w:t>
            </w:r>
            <w:r w:rsidR="00810BFA">
              <w:t>s</w:t>
            </w:r>
            <w:r w:rsidRPr="004610B2">
              <w:t xml:space="preserve">, affordable housing developers submit applications that are scored and ranked in accordance with the rules and laws outlined in the </w:t>
            </w:r>
            <w:r w:rsidR="00810BFA">
              <w:t>q</w:t>
            </w:r>
            <w:r w:rsidRPr="004610B2">
              <w:t xml:space="preserve">ualified </w:t>
            </w:r>
            <w:r w:rsidR="00810BFA">
              <w:t>a</w:t>
            </w:r>
            <w:r w:rsidRPr="004610B2">
              <w:t xml:space="preserve">llocation </w:t>
            </w:r>
            <w:r w:rsidR="00810BFA">
              <w:t>p</w:t>
            </w:r>
            <w:r w:rsidRPr="004610B2">
              <w:t xml:space="preserve">lan. </w:t>
            </w:r>
            <w:r w:rsidR="00D12BEC">
              <w:t>This</w:t>
            </w:r>
            <w:r w:rsidR="00951DE4">
              <w:t xml:space="preserve"> plan is adopted at </w:t>
            </w:r>
            <w:r w:rsidR="00951DE4" w:rsidRPr="00951DE4">
              <w:t>least biennially</w:t>
            </w:r>
            <w:r w:rsidR="00951DE4">
              <w:t xml:space="preserve"> by </w:t>
            </w:r>
            <w:r w:rsidR="00951DE4" w:rsidRPr="00951DE4">
              <w:t xml:space="preserve">the </w:t>
            </w:r>
            <w:r w:rsidR="00D12BEC" w:rsidRPr="00D12BEC">
              <w:t xml:space="preserve">TDHCA </w:t>
            </w:r>
            <w:r w:rsidR="00D12BEC">
              <w:t>governing board</w:t>
            </w:r>
            <w:r w:rsidR="00951DE4">
              <w:t>. However, if the plan were to be adopted on a more set time</w:t>
            </w:r>
            <w:r w:rsidR="004360E5">
              <w:t xml:space="preserve"> </w:t>
            </w:r>
            <w:r w:rsidR="00951DE4">
              <w:t xml:space="preserve">frame, such as biennially, greater </w:t>
            </w:r>
            <w:r w:rsidRPr="004610B2">
              <w:t>predictability</w:t>
            </w:r>
            <w:r w:rsidR="00951DE4">
              <w:t xml:space="preserve"> would be provided </w:t>
            </w:r>
            <w:r w:rsidRPr="004610B2">
              <w:t xml:space="preserve">in </w:t>
            </w:r>
            <w:r w:rsidR="00951DE4">
              <w:t>this</w:t>
            </w:r>
            <w:r w:rsidRPr="004610B2">
              <w:t xml:space="preserve"> highly competitive process</w:t>
            </w:r>
            <w:r w:rsidR="00951DE4">
              <w:t xml:space="preserve">. This would </w:t>
            </w:r>
            <w:r w:rsidRPr="004610B2">
              <w:t>allow</w:t>
            </w:r>
            <w:r w:rsidR="00951DE4">
              <w:t xml:space="preserve"> for</w:t>
            </w:r>
            <w:r w:rsidRPr="004610B2">
              <w:t xml:space="preserve"> greater clarity and due diligence in development planning for developers and community stakeholders</w:t>
            </w:r>
            <w:r w:rsidR="00D12BEC">
              <w:t xml:space="preserve"> and</w:t>
            </w:r>
            <w:r w:rsidRPr="004610B2">
              <w:t xml:space="preserve"> </w:t>
            </w:r>
            <w:r w:rsidR="009808B0">
              <w:t xml:space="preserve">would </w:t>
            </w:r>
            <w:r w:rsidRPr="004610B2">
              <w:t>result in stronger applications to address housing needs.</w:t>
            </w:r>
            <w:r w:rsidR="00D12BEC">
              <w:t xml:space="preserve"> </w:t>
            </w:r>
            <w:r w:rsidR="00D12BEC" w:rsidRPr="00D12BEC">
              <w:t xml:space="preserve">C.S.H.B. 1853 </w:t>
            </w:r>
            <w:r w:rsidR="00D12BEC">
              <w:t>seeks to address this issue by</w:t>
            </w:r>
            <w:r w:rsidR="00D12BEC" w:rsidRPr="00D12BEC">
              <w:t xml:space="preserve"> chang</w:t>
            </w:r>
            <w:r w:rsidR="00D12BEC">
              <w:t>ing</w:t>
            </w:r>
            <w:r w:rsidR="00D12BEC" w:rsidRPr="00D12BEC">
              <w:t xml:space="preserve"> the frequency with which the governing board adopt</w:t>
            </w:r>
            <w:r w:rsidR="00183C9E">
              <w:t>s the</w:t>
            </w:r>
            <w:r w:rsidR="00D12BEC" w:rsidRPr="00D12BEC">
              <w:t xml:space="preserve"> plan</w:t>
            </w:r>
            <w:r w:rsidR="00183C9E">
              <w:t>.</w:t>
            </w:r>
            <w:r w:rsidR="00D12BEC" w:rsidRPr="00D12BEC">
              <w:t xml:space="preserve"> </w:t>
            </w:r>
          </w:p>
          <w:p w14:paraId="02B31964" w14:textId="77777777" w:rsidR="008423E4" w:rsidRPr="00E26B13" w:rsidRDefault="008423E4" w:rsidP="00063CDC">
            <w:pPr>
              <w:rPr>
                <w:b/>
              </w:rPr>
            </w:pPr>
          </w:p>
        </w:tc>
      </w:tr>
      <w:tr w:rsidR="00A95FB3" w14:paraId="79C84FE1" w14:textId="77777777" w:rsidTr="00345119">
        <w:tc>
          <w:tcPr>
            <w:tcW w:w="9576" w:type="dxa"/>
          </w:tcPr>
          <w:p w14:paraId="0C2BA856" w14:textId="77777777" w:rsidR="0017725B" w:rsidRDefault="00554A4F" w:rsidP="00063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1E5ABE9" w14:textId="77777777" w:rsidR="0017725B" w:rsidRDefault="0017725B" w:rsidP="00063CDC">
            <w:pPr>
              <w:rPr>
                <w:b/>
                <w:u w:val="single"/>
              </w:rPr>
            </w:pPr>
          </w:p>
          <w:p w14:paraId="6300B3C1" w14:textId="77777777" w:rsidR="00491D70" w:rsidRPr="00491D70" w:rsidRDefault="00554A4F" w:rsidP="00063CD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2CFCD01A" w14:textId="77777777" w:rsidR="0017725B" w:rsidRPr="0017725B" w:rsidRDefault="0017725B" w:rsidP="00063CDC">
            <w:pPr>
              <w:rPr>
                <w:b/>
                <w:u w:val="single"/>
              </w:rPr>
            </w:pPr>
          </w:p>
        </w:tc>
      </w:tr>
      <w:tr w:rsidR="00A95FB3" w14:paraId="6C6FAF3E" w14:textId="77777777" w:rsidTr="00345119">
        <w:tc>
          <w:tcPr>
            <w:tcW w:w="9576" w:type="dxa"/>
          </w:tcPr>
          <w:p w14:paraId="14AD7429" w14:textId="77777777" w:rsidR="008423E4" w:rsidRPr="00A8133F" w:rsidRDefault="00554A4F" w:rsidP="00063C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4E0177" w14:textId="77777777" w:rsidR="008423E4" w:rsidRDefault="008423E4" w:rsidP="00063CDC"/>
          <w:p w14:paraId="149B1164" w14:textId="77777777" w:rsidR="00491D70" w:rsidRDefault="00554A4F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14:paraId="1BF6F708" w14:textId="77777777" w:rsidR="008423E4" w:rsidRPr="00E21FDC" w:rsidRDefault="008423E4" w:rsidP="00063CDC">
            <w:pPr>
              <w:rPr>
                <w:b/>
              </w:rPr>
            </w:pPr>
          </w:p>
        </w:tc>
      </w:tr>
      <w:tr w:rsidR="00A95FB3" w14:paraId="2306FEA1" w14:textId="77777777" w:rsidTr="00345119">
        <w:tc>
          <w:tcPr>
            <w:tcW w:w="9576" w:type="dxa"/>
          </w:tcPr>
          <w:p w14:paraId="13A2C65A" w14:textId="77777777" w:rsidR="008423E4" w:rsidRPr="00A8133F" w:rsidRDefault="00554A4F" w:rsidP="00063C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A022AA" w14:textId="77777777" w:rsidR="008423E4" w:rsidRDefault="008423E4" w:rsidP="00063CDC"/>
          <w:p w14:paraId="3CDE949F" w14:textId="27490638" w:rsidR="001700DC" w:rsidRDefault="00554A4F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675E6">
              <w:t xml:space="preserve">H.B. </w:t>
            </w:r>
            <w:r w:rsidR="00843CE1">
              <w:t>1853</w:t>
            </w:r>
            <w:r w:rsidR="004675E6">
              <w:t xml:space="preserve"> amends the Government Code to </w:t>
            </w:r>
            <w:r w:rsidR="007316EB">
              <w:t xml:space="preserve">change </w:t>
            </w:r>
            <w:r w:rsidR="008A5E8C">
              <w:t>the</w:t>
            </w:r>
            <w:r w:rsidR="00491D70">
              <w:t xml:space="preserve"> </w:t>
            </w:r>
            <w:r w:rsidR="008A5E8C">
              <w:t xml:space="preserve">frequency </w:t>
            </w:r>
            <w:r w:rsidR="007316EB">
              <w:t>with</w:t>
            </w:r>
            <w:r w:rsidR="008A5E8C">
              <w:t xml:space="preserve"> which the governing board of the Texas Department of Housing and Community Affairs</w:t>
            </w:r>
            <w:r w:rsidR="008D12DD">
              <w:t xml:space="preserve"> (TDHCA)</w:t>
            </w:r>
            <w:r w:rsidR="00491D70">
              <w:t xml:space="preserve"> </w:t>
            </w:r>
            <w:r w:rsidR="00C34784">
              <w:t>must</w:t>
            </w:r>
            <w:r w:rsidR="008A5E8C">
              <w:t xml:space="preserve"> adopt a qu</w:t>
            </w:r>
            <w:r w:rsidR="00491D70">
              <w:t>alified allocation plan and</w:t>
            </w:r>
            <w:r w:rsidR="007316EB">
              <w:t xml:space="preserve"> a</w:t>
            </w:r>
            <w:r w:rsidR="00491D70">
              <w:t xml:space="preserve"> corresponding manual </w:t>
            </w:r>
            <w:r w:rsidR="007316EB">
              <w:t>for</w:t>
            </w:r>
            <w:r w:rsidR="00491D70">
              <w:t xml:space="preserve"> the low income housing tax credit program from </w:t>
            </w:r>
            <w:r w:rsidR="007316EB">
              <w:t>a</w:t>
            </w:r>
            <w:r w:rsidR="007316EB" w:rsidRPr="007316EB">
              <w:t>t least biennially</w:t>
            </w:r>
            <w:r w:rsidR="007316EB">
              <w:t xml:space="preserve"> to </w:t>
            </w:r>
            <w:r w:rsidR="007316EB" w:rsidRPr="007316EB">
              <w:t>biennially</w:t>
            </w:r>
            <w:r w:rsidR="007316EB">
              <w:t>.</w:t>
            </w:r>
            <w:r w:rsidR="00491D70">
              <w:t xml:space="preserve"> </w:t>
            </w:r>
            <w:r w:rsidR="007316EB">
              <w:t xml:space="preserve">The bill explicitly prohibits the governing board from adopting a plan and manual </w:t>
            </w:r>
            <w:r w:rsidR="007316EB" w:rsidRPr="007316EB">
              <w:t>more frequently than once during each biennium</w:t>
            </w:r>
            <w:r w:rsidR="007316EB">
              <w:t xml:space="preserve">. </w:t>
            </w:r>
          </w:p>
          <w:p w14:paraId="0843A7EF" w14:textId="77777777" w:rsidR="001700DC" w:rsidRDefault="001700DC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C0F5E1" w14:textId="6C151A21" w:rsidR="001700DC" w:rsidRDefault="00554A4F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6D34">
              <w:t xml:space="preserve">C.S.H.B. 1853 </w:t>
            </w:r>
            <w:r>
              <w:t>requires the governing boar</w:t>
            </w:r>
            <w:r>
              <w:t>d to do the following:</w:t>
            </w:r>
          </w:p>
          <w:p w14:paraId="2FFF8820" w14:textId="734D4791" w:rsidR="001700DC" w:rsidRDefault="00554A4F" w:rsidP="00063C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biennially adjust to reflect inflation any amount specified in the qualified allocation plan relating to the acceptable cost of a development by square foot</w:t>
            </w:r>
            <w:r w:rsidR="00D46D34">
              <w:t>;</w:t>
            </w:r>
            <w:r>
              <w:t xml:space="preserve">  </w:t>
            </w:r>
          </w:p>
          <w:p w14:paraId="695206AC" w14:textId="6D6A3ADE" w:rsidR="001700DC" w:rsidRDefault="00554A4F" w:rsidP="00063C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use 2021 as the base year for the adjustment; and</w:t>
            </w:r>
          </w:p>
          <w:p w14:paraId="3BAFD47C" w14:textId="2D312F9F" w:rsidR="001700DC" w:rsidRDefault="00554A4F" w:rsidP="00063C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 making the computati</w:t>
            </w:r>
            <w:r>
              <w:t>on, consider the Consumer Price Index for All Urban Consumers, or its successor in fu</w:t>
            </w:r>
            <w:r w:rsidR="00D46D34">
              <w:t>nction, published by the U.</w:t>
            </w:r>
            <w:r>
              <w:t>S</w:t>
            </w:r>
            <w:r w:rsidR="00D46D34">
              <w:t>.</w:t>
            </w:r>
            <w:r>
              <w:t xml:space="preserve"> Bureau of Labor Statistics.</w:t>
            </w:r>
          </w:p>
          <w:p w14:paraId="30DE6C69" w14:textId="77777777" w:rsidR="001700DC" w:rsidRDefault="001700DC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5EC7E6" w14:textId="00A703E8" w:rsidR="008423E4" w:rsidRDefault="00554A4F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6D34">
              <w:t xml:space="preserve">C.S.H.B. 1853 </w:t>
            </w:r>
            <w:r w:rsidR="00491D70">
              <w:t>appl</w:t>
            </w:r>
            <w:r w:rsidR="000B191D">
              <w:t>ies</w:t>
            </w:r>
            <w:r w:rsidR="00491D70">
              <w:t xml:space="preserve"> </w:t>
            </w:r>
            <w:r w:rsidRPr="00D46D34">
              <w:t>to the adoption of a qualified allocation plan and corresponding manual for the state fisc</w:t>
            </w:r>
            <w:r w:rsidRPr="00D46D34">
              <w:t>al biennium beginning September 1, 2021.</w:t>
            </w:r>
          </w:p>
          <w:p w14:paraId="5EAB23A2" w14:textId="77777777" w:rsidR="008423E4" w:rsidRDefault="008423E4" w:rsidP="00063CDC">
            <w:pPr>
              <w:rPr>
                <w:b/>
              </w:rPr>
            </w:pPr>
          </w:p>
          <w:p w14:paraId="57278ADC" w14:textId="04161834" w:rsidR="00063CDC" w:rsidRPr="00835628" w:rsidRDefault="00063CDC" w:rsidP="00063CDC">
            <w:pPr>
              <w:rPr>
                <w:b/>
              </w:rPr>
            </w:pPr>
          </w:p>
        </w:tc>
      </w:tr>
      <w:tr w:rsidR="00A95FB3" w14:paraId="1944B9F8" w14:textId="77777777" w:rsidTr="00345119">
        <w:tc>
          <w:tcPr>
            <w:tcW w:w="9576" w:type="dxa"/>
          </w:tcPr>
          <w:p w14:paraId="5E631EC2" w14:textId="77777777" w:rsidR="008423E4" w:rsidRPr="00A8133F" w:rsidRDefault="00554A4F" w:rsidP="00063C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9FE221" w14:textId="77777777" w:rsidR="008423E4" w:rsidRDefault="008423E4" w:rsidP="00063CDC"/>
          <w:p w14:paraId="5FB2C3CF" w14:textId="09028C45" w:rsidR="008423E4" w:rsidRPr="003624F2" w:rsidRDefault="00554A4F" w:rsidP="00063C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843CE1">
              <w:t>21</w:t>
            </w:r>
            <w:r>
              <w:t>.</w:t>
            </w:r>
          </w:p>
          <w:p w14:paraId="680EC266" w14:textId="77777777" w:rsidR="008423E4" w:rsidRPr="00233FDB" w:rsidRDefault="008423E4" w:rsidP="00063CDC">
            <w:pPr>
              <w:rPr>
                <w:b/>
              </w:rPr>
            </w:pPr>
          </w:p>
        </w:tc>
      </w:tr>
      <w:tr w:rsidR="00A95FB3" w14:paraId="46293232" w14:textId="77777777" w:rsidTr="00345119">
        <w:tc>
          <w:tcPr>
            <w:tcW w:w="9576" w:type="dxa"/>
          </w:tcPr>
          <w:p w14:paraId="712096C8" w14:textId="77777777" w:rsidR="00AA5946" w:rsidRDefault="00554A4F" w:rsidP="00063C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3CBCBEE" w14:textId="77777777" w:rsidR="003D28C5" w:rsidRDefault="003D28C5" w:rsidP="00063CDC">
            <w:pPr>
              <w:jc w:val="both"/>
            </w:pPr>
          </w:p>
          <w:p w14:paraId="419110E8" w14:textId="52EBD2C4" w:rsidR="003D28C5" w:rsidRDefault="00554A4F" w:rsidP="00063CDC">
            <w:pPr>
              <w:jc w:val="both"/>
            </w:pPr>
            <w:r>
              <w:t xml:space="preserve">While C.S.H.B. 1853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14:paraId="3C0183B8" w14:textId="1D3CA995" w:rsidR="003D28C5" w:rsidRDefault="003D28C5" w:rsidP="00063CDC">
            <w:pPr>
              <w:jc w:val="both"/>
            </w:pPr>
          </w:p>
          <w:p w14:paraId="0D77F896" w14:textId="46F2632B" w:rsidR="003D28C5" w:rsidRDefault="00554A4F" w:rsidP="00063CDC">
            <w:pPr>
              <w:jc w:val="both"/>
            </w:pPr>
            <w:r>
              <w:t>The substitute includes</w:t>
            </w:r>
            <w:r w:rsidR="005D2C32">
              <w:t xml:space="preserve"> a</w:t>
            </w:r>
            <w:r>
              <w:t xml:space="preserve"> provision requiring the governing board to biennially adjust to reflect inflation any amount specified in the qualified allocation plan relating to the accepta</w:t>
            </w:r>
            <w:r>
              <w:t>ble cost of a development by square foot</w:t>
            </w:r>
            <w:r w:rsidR="005D2C32">
              <w:t xml:space="preserve"> and includes related provisions.</w:t>
            </w:r>
            <w:r>
              <w:t xml:space="preserve">  </w:t>
            </w:r>
          </w:p>
          <w:p w14:paraId="1AD89188" w14:textId="5BCBD78A" w:rsidR="00CF27D5" w:rsidRDefault="00CF27D5" w:rsidP="00063CDC">
            <w:pPr>
              <w:jc w:val="both"/>
            </w:pPr>
          </w:p>
          <w:p w14:paraId="4EFE7AF4" w14:textId="394B783F" w:rsidR="00CF27D5" w:rsidRDefault="00554A4F" w:rsidP="00063CDC">
            <w:pPr>
              <w:jc w:val="both"/>
            </w:pPr>
            <w:r>
              <w:t xml:space="preserve">The substitute changes the bill's applicability provision from making the bill applicable </w:t>
            </w:r>
            <w:r w:rsidRPr="00CF27D5">
              <w:t xml:space="preserve">only to an application for low income housing tax credits that is submitted to the </w:t>
            </w:r>
            <w:r w:rsidR="008D12DD">
              <w:t>TDHCA</w:t>
            </w:r>
            <w:r w:rsidRPr="00CF27D5">
              <w:t xml:space="preserve"> </w:t>
            </w:r>
            <w:r w:rsidRPr="00CF27D5">
              <w:t>during an application cycle that is based on the 2020 qualified allocation plan or a subsequent plan</w:t>
            </w:r>
            <w:r>
              <w:t xml:space="preserve"> adopted by the governing board to making the bill applicable </w:t>
            </w:r>
            <w:r w:rsidRPr="00CF27D5">
              <w:t>to the adoption of a qualified allocation plan and corresponding manual for the state fiscal b</w:t>
            </w:r>
            <w:r w:rsidRPr="00CF27D5">
              <w:t>iennium beginning September 1, 2021</w:t>
            </w:r>
            <w:r>
              <w:t>.</w:t>
            </w:r>
          </w:p>
          <w:p w14:paraId="68E57793" w14:textId="6500952B" w:rsidR="003D28C5" w:rsidRPr="003D28C5" w:rsidRDefault="003D28C5" w:rsidP="00063CDC">
            <w:pPr>
              <w:jc w:val="both"/>
            </w:pPr>
          </w:p>
        </w:tc>
      </w:tr>
      <w:tr w:rsidR="00A95FB3" w14:paraId="4ABFCF0D" w14:textId="77777777" w:rsidTr="00345119">
        <w:tc>
          <w:tcPr>
            <w:tcW w:w="9576" w:type="dxa"/>
          </w:tcPr>
          <w:p w14:paraId="1C0A1B23" w14:textId="77777777" w:rsidR="00AA5946" w:rsidRPr="009C1E9A" w:rsidRDefault="00AA5946" w:rsidP="00063CDC">
            <w:pPr>
              <w:rPr>
                <w:b/>
                <w:u w:val="single"/>
              </w:rPr>
            </w:pPr>
          </w:p>
        </w:tc>
      </w:tr>
      <w:tr w:rsidR="00A95FB3" w14:paraId="581FFC25" w14:textId="77777777" w:rsidTr="00345119">
        <w:tc>
          <w:tcPr>
            <w:tcW w:w="9576" w:type="dxa"/>
          </w:tcPr>
          <w:p w14:paraId="21F892AF" w14:textId="77777777" w:rsidR="00AA5946" w:rsidRPr="00AA5946" w:rsidRDefault="00AA5946" w:rsidP="00063CDC">
            <w:pPr>
              <w:jc w:val="both"/>
            </w:pPr>
          </w:p>
        </w:tc>
      </w:tr>
    </w:tbl>
    <w:p w14:paraId="7C9F1CAE" w14:textId="77777777" w:rsidR="008423E4" w:rsidRPr="00BE0E75" w:rsidRDefault="008423E4" w:rsidP="00063CDC">
      <w:pPr>
        <w:jc w:val="both"/>
        <w:rPr>
          <w:rFonts w:ascii="Arial" w:hAnsi="Arial"/>
          <w:sz w:val="16"/>
          <w:szCs w:val="16"/>
        </w:rPr>
      </w:pPr>
    </w:p>
    <w:p w14:paraId="7F1C4B40" w14:textId="77777777" w:rsidR="004108C3" w:rsidRPr="008423E4" w:rsidRDefault="004108C3" w:rsidP="00063CD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8E53" w14:textId="77777777" w:rsidR="00000000" w:rsidRDefault="00554A4F">
      <w:r>
        <w:separator/>
      </w:r>
    </w:p>
  </w:endnote>
  <w:endnote w:type="continuationSeparator" w:id="0">
    <w:p w14:paraId="1370BCF2" w14:textId="77777777" w:rsidR="00000000" w:rsidRDefault="0055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4C9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FB3" w14:paraId="05A8016C" w14:textId="77777777" w:rsidTr="009C1E9A">
      <w:trPr>
        <w:cantSplit/>
      </w:trPr>
      <w:tc>
        <w:tcPr>
          <w:tcW w:w="0" w:type="pct"/>
        </w:tcPr>
        <w:p w14:paraId="13CC0B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F451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DD35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548D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BC66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FB3" w14:paraId="08474F8B" w14:textId="77777777" w:rsidTr="009C1E9A">
      <w:trPr>
        <w:cantSplit/>
      </w:trPr>
      <w:tc>
        <w:tcPr>
          <w:tcW w:w="0" w:type="pct"/>
        </w:tcPr>
        <w:p w14:paraId="194B4D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E8E2FD" w14:textId="5ACABF82" w:rsidR="00EC379B" w:rsidRPr="009C1E9A" w:rsidRDefault="00554A4F" w:rsidP="001B795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18343</w:t>
          </w:r>
        </w:p>
      </w:tc>
      <w:tc>
        <w:tcPr>
          <w:tcW w:w="2453" w:type="pct"/>
        </w:tcPr>
        <w:p w14:paraId="19590CA8" w14:textId="363B8AD5" w:rsidR="00EC379B" w:rsidRDefault="00554A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6C2A">
            <w:t>21.95.1198</w:t>
          </w:r>
          <w:r>
            <w:fldChar w:fldCharType="end"/>
          </w:r>
        </w:p>
      </w:tc>
    </w:tr>
    <w:tr w:rsidR="00A95FB3" w14:paraId="4F90D397" w14:textId="77777777" w:rsidTr="009C1E9A">
      <w:trPr>
        <w:cantSplit/>
      </w:trPr>
      <w:tc>
        <w:tcPr>
          <w:tcW w:w="0" w:type="pct"/>
        </w:tcPr>
        <w:p w14:paraId="32C3380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4A192D" w14:textId="3863F102" w:rsidR="00EC379B" w:rsidRPr="009C1E9A" w:rsidRDefault="00554A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16172</w:t>
          </w:r>
        </w:p>
      </w:tc>
      <w:tc>
        <w:tcPr>
          <w:tcW w:w="2453" w:type="pct"/>
        </w:tcPr>
        <w:p w14:paraId="63B48DA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AAB2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FB3" w14:paraId="314382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12382D" w14:textId="597F8AC2" w:rsidR="00EC379B" w:rsidRDefault="00554A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3CD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001D4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FF07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CA3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1522" w14:textId="77777777" w:rsidR="00000000" w:rsidRDefault="00554A4F">
      <w:r>
        <w:separator/>
      </w:r>
    </w:p>
  </w:footnote>
  <w:footnote w:type="continuationSeparator" w:id="0">
    <w:p w14:paraId="6689176D" w14:textId="77777777" w:rsidR="00000000" w:rsidRDefault="0055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AFB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EE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432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8D8"/>
    <w:multiLevelType w:val="hybridMultilevel"/>
    <w:tmpl w:val="D94492D0"/>
    <w:lvl w:ilvl="0" w:tplc="2C180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44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29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67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EB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8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6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E2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61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6CCD"/>
    <w:multiLevelType w:val="hybridMultilevel"/>
    <w:tmpl w:val="96ACE73A"/>
    <w:lvl w:ilvl="0" w:tplc="22EA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24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45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EC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E6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8C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F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42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44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CDC"/>
    <w:rsid w:val="00064BF2"/>
    <w:rsid w:val="000667BA"/>
    <w:rsid w:val="000676A7"/>
    <w:rsid w:val="00073914"/>
    <w:rsid w:val="00074236"/>
    <w:rsid w:val="000746BD"/>
    <w:rsid w:val="00076D7D"/>
    <w:rsid w:val="00080D95"/>
    <w:rsid w:val="00086AEA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91D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C69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0DC"/>
    <w:rsid w:val="00171BF2"/>
    <w:rsid w:val="001732AD"/>
    <w:rsid w:val="0017347B"/>
    <w:rsid w:val="0017725B"/>
    <w:rsid w:val="0018050C"/>
    <w:rsid w:val="0018117F"/>
    <w:rsid w:val="001824ED"/>
    <w:rsid w:val="00183262"/>
    <w:rsid w:val="00183C9E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959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56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723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99A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6A1"/>
    <w:rsid w:val="002D305A"/>
    <w:rsid w:val="002E07AC"/>
    <w:rsid w:val="002E21B8"/>
    <w:rsid w:val="002E7DF9"/>
    <w:rsid w:val="002F097B"/>
    <w:rsid w:val="002F155D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E8A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107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8C5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0E5"/>
    <w:rsid w:val="00436980"/>
    <w:rsid w:val="00437046"/>
    <w:rsid w:val="00440C2B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0B2"/>
    <w:rsid w:val="00461B69"/>
    <w:rsid w:val="00462B3D"/>
    <w:rsid w:val="004675E6"/>
    <w:rsid w:val="00474927"/>
    <w:rsid w:val="00475913"/>
    <w:rsid w:val="00480080"/>
    <w:rsid w:val="004824A7"/>
    <w:rsid w:val="00483AF0"/>
    <w:rsid w:val="00484167"/>
    <w:rsid w:val="00491D70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BD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54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FA0"/>
    <w:rsid w:val="00551CA6"/>
    <w:rsid w:val="00554A4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CA6"/>
    <w:rsid w:val="005C1496"/>
    <w:rsid w:val="005C17C5"/>
    <w:rsid w:val="005C2B21"/>
    <w:rsid w:val="005C2C00"/>
    <w:rsid w:val="005C4C6F"/>
    <w:rsid w:val="005C5127"/>
    <w:rsid w:val="005C7CCB"/>
    <w:rsid w:val="005D1444"/>
    <w:rsid w:val="005D2C3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8DD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5A5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47C"/>
    <w:rsid w:val="0070298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23"/>
    <w:rsid w:val="00721724"/>
    <w:rsid w:val="00722EC5"/>
    <w:rsid w:val="00723326"/>
    <w:rsid w:val="00724252"/>
    <w:rsid w:val="00727E7A"/>
    <w:rsid w:val="0073163C"/>
    <w:rsid w:val="007316EB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AEE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BFA"/>
    <w:rsid w:val="00812BE3"/>
    <w:rsid w:val="00812C94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CE1"/>
    <w:rsid w:val="00850CF0"/>
    <w:rsid w:val="00851869"/>
    <w:rsid w:val="00851C04"/>
    <w:rsid w:val="008531A1"/>
    <w:rsid w:val="00853A94"/>
    <w:rsid w:val="008547A3"/>
    <w:rsid w:val="0085761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5E8C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2DD"/>
    <w:rsid w:val="008D27A5"/>
    <w:rsid w:val="008D2AAB"/>
    <w:rsid w:val="008D309C"/>
    <w:rsid w:val="008D58F9"/>
    <w:rsid w:val="008D7B6D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7A3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DE4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8B0"/>
    <w:rsid w:val="0098170E"/>
    <w:rsid w:val="0098285C"/>
    <w:rsid w:val="00983B56"/>
    <w:rsid w:val="009847FD"/>
    <w:rsid w:val="009851B3"/>
    <w:rsid w:val="00985300"/>
    <w:rsid w:val="00985723"/>
    <w:rsid w:val="00986720"/>
    <w:rsid w:val="00987F00"/>
    <w:rsid w:val="0099403D"/>
    <w:rsid w:val="00995B0B"/>
    <w:rsid w:val="00995CCF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0FEA"/>
    <w:rsid w:val="009E13BF"/>
    <w:rsid w:val="009E3631"/>
    <w:rsid w:val="009E3ACF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FA2"/>
    <w:rsid w:val="00A932BB"/>
    <w:rsid w:val="00A93579"/>
    <w:rsid w:val="00A93934"/>
    <w:rsid w:val="00A95D51"/>
    <w:rsid w:val="00A95FB3"/>
    <w:rsid w:val="00AA18AE"/>
    <w:rsid w:val="00AA228B"/>
    <w:rsid w:val="00AA246C"/>
    <w:rsid w:val="00AA5946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C2A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784"/>
    <w:rsid w:val="00C35CC5"/>
    <w:rsid w:val="00C361C5"/>
    <w:rsid w:val="00C377D1"/>
    <w:rsid w:val="00C37BDA"/>
    <w:rsid w:val="00C37C84"/>
    <w:rsid w:val="00C42B41"/>
    <w:rsid w:val="00C46166"/>
    <w:rsid w:val="00C4710D"/>
    <w:rsid w:val="00C505C7"/>
    <w:rsid w:val="00C50CAD"/>
    <w:rsid w:val="00C51A0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7D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2BEC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D3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ED9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43C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F4C"/>
    <w:rsid w:val="00DE49DE"/>
    <w:rsid w:val="00DE618B"/>
    <w:rsid w:val="00DE6EC2"/>
    <w:rsid w:val="00DF0834"/>
    <w:rsid w:val="00DF2707"/>
    <w:rsid w:val="00DF4D90"/>
    <w:rsid w:val="00DF5EBD"/>
    <w:rsid w:val="00DF6B76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C8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B7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B41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1FB53-BBDD-4565-967C-9147A3F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1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1D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D70"/>
    <w:rPr>
      <w:b/>
      <w:bCs/>
    </w:rPr>
  </w:style>
  <w:style w:type="character" w:styleId="Hyperlink">
    <w:name w:val="Hyperlink"/>
    <w:basedOn w:val="DefaultParagraphFont"/>
    <w:unhideWhenUsed/>
    <w:rsid w:val="000B1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E0FE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6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3130</Characters>
  <Application>Microsoft Office Word</Application>
  <DocSecurity>4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HB01853 (Committee Report (Substituted))</vt:lpstr>
    </vt:vector>
  </TitlesOfParts>
  <Company>State of Texas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18343</dc:subject>
  <dc:creator>State of Texas</dc:creator>
  <dc:description>HB 1853 by Sanford-(H)Urban Affairs (Substitute Document Number: 87R 16172)</dc:description>
  <cp:lastModifiedBy>Thomas Weis</cp:lastModifiedBy>
  <cp:revision>2</cp:revision>
  <cp:lastPrinted>2003-11-26T17:21:00Z</cp:lastPrinted>
  <dcterms:created xsi:type="dcterms:W3CDTF">2021-04-08T20:56:00Z</dcterms:created>
  <dcterms:modified xsi:type="dcterms:W3CDTF">2021-04-08T20:56:00Z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21.95.1198</vt:lpwstr>
  </property>
</Properties>
</file>