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C6310" w14:paraId="5598A278" w14:textId="77777777" w:rsidTr="00345119">
        <w:tc>
          <w:tcPr>
            <w:tcW w:w="9576" w:type="dxa"/>
            <w:noWrap/>
          </w:tcPr>
          <w:p w14:paraId="776AC1C5" w14:textId="77777777" w:rsidR="008423E4" w:rsidRPr="0022177D" w:rsidRDefault="00FC45E3" w:rsidP="004526C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B9DB1D4" w14:textId="77777777" w:rsidR="008423E4" w:rsidRPr="0022177D" w:rsidRDefault="008423E4" w:rsidP="004526C4">
      <w:pPr>
        <w:jc w:val="center"/>
      </w:pPr>
    </w:p>
    <w:p w14:paraId="4BBC02DB" w14:textId="77777777" w:rsidR="008423E4" w:rsidRPr="00B31F0E" w:rsidRDefault="008423E4" w:rsidP="004526C4"/>
    <w:p w14:paraId="06C67A88" w14:textId="77777777" w:rsidR="008423E4" w:rsidRPr="00742794" w:rsidRDefault="008423E4" w:rsidP="004526C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C6310" w14:paraId="3F211D21" w14:textId="77777777" w:rsidTr="00345119">
        <w:tc>
          <w:tcPr>
            <w:tcW w:w="9576" w:type="dxa"/>
          </w:tcPr>
          <w:p w14:paraId="07576743" w14:textId="015C2F40" w:rsidR="008423E4" w:rsidRPr="00861995" w:rsidRDefault="00FC45E3" w:rsidP="004526C4">
            <w:pPr>
              <w:jc w:val="right"/>
            </w:pPr>
            <w:r>
              <w:t>H.B. 1866</w:t>
            </w:r>
          </w:p>
        </w:tc>
      </w:tr>
      <w:tr w:rsidR="00BC6310" w14:paraId="38065F07" w14:textId="77777777" w:rsidTr="00345119">
        <w:tc>
          <w:tcPr>
            <w:tcW w:w="9576" w:type="dxa"/>
          </w:tcPr>
          <w:p w14:paraId="74673FC5" w14:textId="76A7B908" w:rsidR="008423E4" w:rsidRPr="00861995" w:rsidRDefault="00FC45E3" w:rsidP="004526C4">
            <w:pPr>
              <w:jc w:val="right"/>
            </w:pPr>
            <w:r>
              <w:t xml:space="preserve">By: </w:t>
            </w:r>
            <w:r w:rsidR="00BF55CC">
              <w:t>Lucio III</w:t>
            </w:r>
          </w:p>
        </w:tc>
      </w:tr>
      <w:tr w:rsidR="00BC6310" w14:paraId="12725AA3" w14:textId="77777777" w:rsidTr="00345119">
        <w:tc>
          <w:tcPr>
            <w:tcW w:w="9576" w:type="dxa"/>
          </w:tcPr>
          <w:p w14:paraId="67787020" w14:textId="16749D09" w:rsidR="008423E4" w:rsidRPr="00861995" w:rsidRDefault="00FC45E3" w:rsidP="004526C4">
            <w:pPr>
              <w:jc w:val="right"/>
            </w:pPr>
            <w:r>
              <w:t>Natural Resources</w:t>
            </w:r>
          </w:p>
        </w:tc>
      </w:tr>
      <w:tr w:rsidR="00BC6310" w14:paraId="0A760CC4" w14:textId="77777777" w:rsidTr="00345119">
        <w:tc>
          <w:tcPr>
            <w:tcW w:w="9576" w:type="dxa"/>
          </w:tcPr>
          <w:p w14:paraId="480BDEFB" w14:textId="5AF32380" w:rsidR="008423E4" w:rsidRDefault="00FC45E3" w:rsidP="004526C4">
            <w:pPr>
              <w:jc w:val="right"/>
            </w:pPr>
            <w:r>
              <w:t>Committee Report (Unamended)</w:t>
            </w:r>
          </w:p>
        </w:tc>
      </w:tr>
    </w:tbl>
    <w:p w14:paraId="6DD47CEA" w14:textId="77777777" w:rsidR="008423E4" w:rsidRDefault="008423E4" w:rsidP="004526C4">
      <w:pPr>
        <w:tabs>
          <w:tab w:val="right" w:pos="9360"/>
        </w:tabs>
      </w:pPr>
    </w:p>
    <w:p w14:paraId="0BC90250" w14:textId="77777777" w:rsidR="008423E4" w:rsidRDefault="008423E4" w:rsidP="004526C4"/>
    <w:p w14:paraId="396A80B8" w14:textId="77777777" w:rsidR="008423E4" w:rsidRDefault="008423E4" w:rsidP="004526C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C6310" w14:paraId="55274B11" w14:textId="77777777" w:rsidTr="00345119">
        <w:tc>
          <w:tcPr>
            <w:tcW w:w="9576" w:type="dxa"/>
          </w:tcPr>
          <w:p w14:paraId="45D8DB86" w14:textId="77777777" w:rsidR="008423E4" w:rsidRPr="00A8133F" w:rsidRDefault="00FC45E3" w:rsidP="004526C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B6A84DD" w14:textId="77777777" w:rsidR="008423E4" w:rsidRDefault="008423E4" w:rsidP="004526C4"/>
          <w:p w14:paraId="3077DC51" w14:textId="45D96F7B" w:rsidR="008423E4" w:rsidRDefault="00FC45E3" w:rsidP="004526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replacing a biennial </w:t>
            </w:r>
            <w:r w:rsidRPr="00F5244D">
              <w:t xml:space="preserve">Texas Water Development Board (TWDB) </w:t>
            </w:r>
            <w:r>
              <w:t xml:space="preserve">reporting requirement regarding water use data with a requirement that the </w:t>
            </w:r>
            <w:r w:rsidRPr="00F5244D">
              <w:t>TWDB</w:t>
            </w:r>
            <w:r>
              <w:t xml:space="preserve"> make the data publicly available </w:t>
            </w:r>
            <w:r w:rsidR="000454ED">
              <w:t xml:space="preserve">would conserve </w:t>
            </w:r>
            <w:r w:rsidR="000F67EF">
              <w:t>TWDB</w:t>
            </w:r>
            <w:r w:rsidR="000454ED">
              <w:t xml:space="preserve"> resources while</w:t>
            </w:r>
            <w:r>
              <w:t xml:space="preserve"> making the data more accessible</w:t>
            </w:r>
            <w:r w:rsidR="000454ED">
              <w:t xml:space="preserve">. Like other </w:t>
            </w:r>
            <w:r>
              <w:t>state agency</w:t>
            </w:r>
            <w:r w:rsidR="000454ED">
              <w:t xml:space="preserve"> reports, considerable staff time is required to draft, review, edit, publish, and deliver a formal report</w:t>
            </w:r>
            <w:r w:rsidR="00272675">
              <w:t>,</w:t>
            </w:r>
            <w:r>
              <w:t xml:space="preserve"> and</w:t>
            </w:r>
            <w:r w:rsidR="000454ED">
              <w:t xml:space="preserve"> </w:t>
            </w:r>
            <w:r w:rsidR="000F67EF">
              <w:t xml:space="preserve">it is </w:t>
            </w:r>
            <w:r w:rsidR="000454ED">
              <w:t>believe</w:t>
            </w:r>
            <w:r w:rsidR="000F67EF">
              <w:t>d</w:t>
            </w:r>
            <w:r w:rsidR="000454ED">
              <w:t xml:space="preserve"> that the data </w:t>
            </w:r>
            <w:r w:rsidR="008062E7">
              <w:t xml:space="preserve">can still be shared while </w:t>
            </w:r>
            <w:r w:rsidR="000454ED">
              <w:t xml:space="preserve">expending fewer </w:t>
            </w:r>
            <w:r w:rsidR="008062E7">
              <w:t>TWDB</w:t>
            </w:r>
            <w:r w:rsidR="000454ED">
              <w:t xml:space="preserve"> resources</w:t>
            </w:r>
            <w:r w:rsidR="008062E7">
              <w:t xml:space="preserve"> to do so</w:t>
            </w:r>
            <w:r w:rsidR="000454ED">
              <w:t>.</w:t>
            </w:r>
            <w:r w:rsidR="008062E7">
              <w:t xml:space="preserve"> H.B. 1866 </w:t>
            </w:r>
            <w:r w:rsidR="006837EF">
              <w:t>makes</w:t>
            </w:r>
            <w:r w:rsidR="00D72D5A">
              <w:t xml:space="preserve"> this change</w:t>
            </w:r>
            <w:r w:rsidR="00272675">
              <w:t xml:space="preserve"> and also repeals a reporting requirement regarding dam repair and maintenance needs which has already been c</w:t>
            </w:r>
            <w:r w:rsidR="006837EF">
              <w:t>ompleted</w:t>
            </w:r>
            <w:r w:rsidR="008062E7">
              <w:t>.</w:t>
            </w:r>
            <w:r w:rsidR="000454ED">
              <w:t xml:space="preserve">  </w:t>
            </w:r>
          </w:p>
          <w:p w14:paraId="014BD497" w14:textId="77777777" w:rsidR="008423E4" w:rsidRPr="00E26B13" w:rsidRDefault="008423E4" w:rsidP="004526C4">
            <w:pPr>
              <w:rPr>
                <w:b/>
              </w:rPr>
            </w:pPr>
          </w:p>
        </w:tc>
      </w:tr>
      <w:tr w:rsidR="00BC6310" w14:paraId="2054D448" w14:textId="77777777" w:rsidTr="00345119">
        <w:tc>
          <w:tcPr>
            <w:tcW w:w="9576" w:type="dxa"/>
          </w:tcPr>
          <w:p w14:paraId="5F77BD71" w14:textId="77777777" w:rsidR="0017725B" w:rsidRDefault="00FC45E3" w:rsidP="004526C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FAB7D6F" w14:textId="77777777" w:rsidR="0017725B" w:rsidRDefault="0017725B" w:rsidP="004526C4">
            <w:pPr>
              <w:rPr>
                <w:b/>
                <w:u w:val="single"/>
              </w:rPr>
            </w:pPr>
          </w:p>
          <w:p w14:paraId="40F7B596" w14:textId="77777777" w:rsidR="00C82175" w:rsidRPr="00C82175" w:rsidRDefault="00FC45E3" w:rsidP="004526C4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</w:t>
            </w:r>
            <w:r>
              <w:t>change the eligibility of a person for community supervision, parole, or mandatory supervision.</w:t>
            </w:r>
          </w:p>
          <w:p w14:paraId="79FE000C" w14:textId="77777777" w:rsidR="0017725B" w:rsidRPr="0017725B" w:rsidRDefault="0017725B" w:rsidP="004526C4">
            <w:pPr>
              <w:rPr>
                <w:b/>
                <w:u w:val="single"/>
              </w:rPr>
            </w:pPr>
          </w:p>
        </w:tc>
      </w:tr>
      <w:tr w:rsidR="00BC6310" w14:paraId="36EA8433" w14:textId="77777777" w:rsidTr="00345119">
        <w:tc>
          <w:tcPr>
            <w:tcW w:w="9576" w:type="dxa"/>
          </w:tcPr>
          <w:p w14:paraId="716094D0" w14:textId="77777777" w:rsidR="008423E4" w:rsidRPr="00A8133F" w:rsidRDefault="00FC45E3" w:rsidP="004526C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139D46B" w14:textId="77777777" w:rsidR="008423E4" w:rsidRDefault="008423E4" w:rsidP="004526C4"/>
          <w:p w14:paraId="4296D33B" w14:textId="77777777" w:rsidR="00C82175" w:rsidRDefault="00FC45E3" w:rsidP="004526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</w:t>
            </w:r>
            <w:r>
              <w:t>t, agency, or institution.</w:t>
            </w:r>
          </w:p>
          <w:p w14:paraId="2F32476A" w14:textId="77777777" w:rsidR="008423E4" w:rsidRPr="00E21FDC" w:rsidRDefault="008423E4" w:rsidP="004526C4">
            <w:pPr>
              <w:rPr>
                <w:b/>
              </w:rPr>
            </w:pPr>
          </w:p>
        </w:tc>
      </w:tr>
      <w:tr w:rsidR="00BC6310" w14:paraId="0182B72B" w14:textId="77777777" w:rsidTr="00345119">
        <w:tc>
          <w:tcPr>
            <w:tcW w:w="9576" w:type="dxa"/>
          </w:tcPr>
          <w:p w14:paraId="5DDE786F" w14:textId="77777777" w:rsidR="008423E4" w:rsidRPr="00A8133F" w:rsidRDefault="00FC45E3" w:rsidP="004526C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ABF2758" w14:textId="77777777" w:rsidR="008423E4" w:rsidRDefault="008423E4" w:rsidP="004526C4"/>
          <w:p w14:paraId="52553FD2" w14:textId="77777777" w:rsidR="009D5FCC" w:rsidRDefault="00FC45E3" w:rsidP="004526C4">
            <w:pPr>
              <w:pStyle w:val="Header"/>
              <w:jc w:val="both"/>
            </w:pPr>
            <w:r>
              <w:t xml:space="preserve">H.B. 1866 amends the </w:t>
            </w:r>
            <w:r w:rsidRPr="009D5FCC">
              <w:t>Water Code</w:t>
            </w:r>
            <w:r>
              <w:t xml:space="preserve"> to replace the requirement that the Texas Water Development Board (TWDB) </w:t>
            </w:r>
            <w:r w:rsidRPr="009D5FCC">
              <w:t>submit to the legislature a</w:t>
            </w:r>
            <w:r>
              <w:t xml:space="preserve"> </w:t>
            </w:r>
            <w:r w:rsidRPr="009D5FCC">
              <w:t>biennial report that includes</w:t>
            </w:r>
            <w:r>
              <w:t xml:space="preserve"> the most recent data</w:t>
            </w:r>
            <w:r>
              <w:t xml:space="preserve"> relating to the following with a requirement that the TWDB make the data publicly available:</w:t>
            </w:r>
          </w:p>
          <w:p w14:paraId="2B7E47DD" w14:textId="77777777" w:rsidR="009D5FCC" w:rsidRDefault="00FC45E3" w:rsidP="004526C4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statewide water usage in the residential, industrial, agricultural, commercial, and institutional sectors; and</w:t>
            </w:r>
          </w:p>
          <w:p w14:paraId="2697A455" w14:textId="77777777" w:rsidR="009C36CD" w:rsidRDefault="00FC45E3" w:rsidP="004526C4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the data collection and reporting program </w:t>
            </w:r>
            <w:r w:rsidR="00461951" w:rsidRPr="00461951">
              <w:t>for municipalities and water utilities with more than 3,300 connections</w:t>
            </w:r>
            <w:r>
              <w:t>.</w:t>
            </w:r>
          </w:p>
          <w:p w14:paraId="22880974" w14:textId="77777777" w:rsidR="00461951" w:rsidRDefault="00461951" w:rsidP="004526C4">
            <w:pPr>
              <w:pStyle w:val="Header"/>
              <w:jc w:val="both"/>
            </w:pPr>
          </w:p>
          <w:p w14:paraId="57DF5FEF" w14:textId="77777777" w:rsidR="00461951" w:rsidRDefault="00FC45E3" w:rsidP="004526C4">
            <w:pPr>
              <w:pStyle w:val="Header"/>
              <w:jc w:val="both"/>
            </w:pPr>
            <w:r>
              <w:t xml:space="preserve">H.B. 1866 repeals </w:t>
            </w:r>
            <w:r w:rsidRPr="00F11DE9">
              <w:t>Section 201.0227(d-1), Agriculture Code,</w:t>
            </w:r>
            <w:r>
              <w:t xml:space="preserve"> which requires the TWDB, in coordination with </w:t>
            </w:r>
            <w:r w:rsidRPr="00F11DE9">
              <w:t xml:space="preserve">the State Soil and Water Conservation Board </w:t>
            </w:r>
            <w:r>
              <w:t xml:space="preserve">and the Texas Commission on Environmental </w:t>
            </w:r>
            <w:r>
              <w:t>Quality, to prepare a report of the repair and maintenance needs of certain dams.</w:t>
            </w:r>
          </w:p>
          <w:p w14:paraId="2F7047E4" w14:textId="77777777" w:rsidR="008423E4" w:rsidRPr="00835628" w:rsidRDefault="008423E4" w:rsidP="004526C4">
            <w:pPr>
              <w:rPr>
                <w:b/>
              </w:rPr>
            </w:pPr>
          </w:p>
        </w:tc>
      </w:tr>
      <w:tr w:rsidR="00BC6310" w14:paraId="09CAD221" w14:textId="77777777" w:rsidTr="00345119">
        <w:tc>
          <w:tcPr>
            <w:tcW w:w="9576" w:type="dxa"/>
          </w:tcPr>
          <w:p w14:paraId="0EB9AF16" w14:textId="77777777" w:rsidR="008423E4" w:rsidRPr="00A8133F" w:rsidRDefault="00FC45E3" w:rsidP="004526C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47E96E5" w14:textId="77777777" w:rsidR="008423E4" w:rsidRDefault="008423E4" w:rsidP="004526C4"/>
          <w:p w14:paraId="076F7B24" w14:textId="77777777" w:rsidR="008423E4" w:rsidRPr="003624F2" w:rsidRDefault="00FC45E3" w:rsidP="004526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AD3C8CA" w14:textId="77777777" w:rsidR="008423E4" w:rsidRPr="00233FDB" w:rsidRDefault="008423E4" w:rsidP="004526C4">
            <w:pPr>
              <w:rPr>
                <w:b/>
              </w:rPr>
            </w:pPr>
          </w:p>
        </w:tc>
      </w:tr>
    </w:tbl>
    <w:p w14:paraId="44EBE499" w14:textId="77777777" w:rsidR="008423E4" w:rsidRPr="00BE0E75" w:rsidRDefault="008423E4" w:rsidP="004526C4">
      <w:pPr>
        <w:jc w:val="both"/>
        <w:rPr>
          <w:rFonts w:ascii="Arial" w:hAnsi="Arial"/>
          <w:sz w:val="16"/>
          <w:szCs w:val="16"/>
        </w:rPr>
      </w:pPr>
    </w:p>
    <w:p w14:paraId="28ADACA8" w14:textId="77777777" w:rsidR="004108C3" w:rsidRPr="008423E4" w:rsidRDefault="004108C3" w:rsidP="004526C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95253" w14:textId="77777777" w:rsidR="00000000" w:rsidRDefault="00FC45E3">
      <w:r>
        <w:separator/>
      </w:r>
    </w:p>
  </w:endnote>
  <w:endnote w:type="continuationSeparator" w:id="0">
    <w:p w14:paraId="00DBEF1F" w14:textId="77777777" w:rsidR="00000000" w:rsidRDefault="00FC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D987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C6310" w14:paraId="0D6F73AE" w14:textId="77777777" w:rsidTr="009C1E9A">
      <w:trPr>
        <w:cantSplit/>
      </w:trPr>
      <w:tc>
        <w:tcPr>
          <w:tcW w:w="0" w:type="pct"/>
        </w:tcPr>
        <w:p w14:paraId="37B1BC9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89BBEA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9EDB41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F2251E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2AE228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C6310" w14:paraId="13609AD3" w14:textId="77777777" w:rsidTr="009C1E9A">
      <w:trPr>
        <w:cantSplit/>
      </w:trPr>
      <w:tc>
        <w:tcPr>
          <w:tcW w:w="0" w:type="pct"/>
        </w:tcPr>
        <w:p w14:paraId="07B59D8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D67EF52" w14:textId="2C4914FF" w:rsidR="00EC379B" w:rsidRPr="009C1E9A" w:rsidRDefault="00FC45E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18260</w:t>
          </w:r>
        </w:p>
      </w:tc>
      <w:tc>
        <w:tcPr>
          <w:tcW w:w="2453" w:type="pct"/>
        </w:tcPr>
        <w:p w14:paraId="775502FD" w14:textId="59556645" w:rsidR="00EC379B" w:rsidRDefault="00FC45E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B4467">
            <w:t>21.98.968</w:t>
          </w:r>
          <w:r>
            <w:fldChar w:fldCharType="end"/>
          </w:r>
        </w:p>
      </w:tc>
    </w:tr>
    <w:tr w:rsidR="00BC6310" w14:paraId="00B7527B" w14:textId="77777777" w:rsidTr="009C1E9A">
      <w:trPr>
        <w:cantSplit/>
      </w:trPr>
      <w:tc>
        <w:tcPr>
          <w:tcW w:w="0" w:type="pct"/>
        </w:tcPr>
        <w:p w14:paraId="7C204E5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E696611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C7DA91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BCBB3A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C6310" w14:paraId="2B6A0D1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3E3D948" w14:textId="49389B31" w:rsidR="00EC379B" w:rsidRDefault="00FC45E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B446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713532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E86297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6194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3CF1B" w14:textId="77777777" w:rsidR="00000000" w:rsidRDefault="00FC45E3">
      <w:r>
        <w:separator/>
      </w:r>
    </w:p>
  </w:footnote>
  <w:footnote w:type="continuationSeparator" w:id="0">
    <w:p w14:paraId="2C57FB17" w14:textId="77777777" w:rsidR="00000000" w:rsidRDefault="00FC4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366D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80AA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1EDAB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34F94"/>
    <w:multiLevelType w:val="hybridMultilevel"/>
    <w:tmpl w:val="2BA813A8"/>
    <w:lvl w:ilvl="0" w:tplc="55809360">
      <w:start w:val="1"/>
      <w:numFmt w:val="decimal"/>
      <w:lvlText w:val="(%1)"/>
      <w:lvlJc w:val="left"/>
      <w:pPr>
        <w:ind w:left="953" w:hanging="593"/>
      </w:pPr>
      <w:rPr>
        <w:rFonts w:hint="default"/>
      </w:rPr>
    </w:lvl>
    <w:lvl w:ilvl="1" w:tplc="64B84826" w:tentative="1">
      <w:start w:val="1"/>
      <w:numFmt w:val="lowerLetter"/>
      <w:lvlText w:val="%2."/>
      <w:lvlJc w:val="left"/>
      <w:pPr>
        <w:ind w:left="1440" w:hanging="360"/>
      </w:pPr>
    </w:lvl>
    <w:lvl w:ilvl="2" w:tplc="60F06FEE" w:tentative="1">
      <w:start w:val="1"/>
      <w:numFmt w:val="lowerRoman"/>
      <w:lvlText w:val="%3."/>
      <w:lvlJc w:val="right"/>
      <w:pPr>
        <w:ind w:left="2160" w:hanging="180"/>
      </w:pPr>
    </w:lvl>
    <w:lvl w:ilvl="3" w:tplc="931AD2D8" w:tentative="1">
      <w:start w:val="1"/>
      <w:numFmt w:val="decimal"/>
      <w:lvlText w:val="%4."/>
      <w:lvlJc w:val="left"/>
      <w:pPr>
        <w:ind w:left="2880" w:hanging="360"/>
      </w:pPr>
    </w:lvl>
    <w:lvl w:ilvl="4" w:tplc="3D4CE562" w:tentative="1">
      <w:start w:val="1"/>
      <w:numFmt w:val="lowerLetter"/>
      <w:lvlText w:val="%5."/>
      <w:lvlJc w:val="left"/>
      <w:pPr>
        <w:ind w:left="3600" w:hanging="360"/>
      </w:pPr>
    </w:lvl>
    <w:lvl w:ilvl="5" w:tplc="8AE4F872" w:tentative="1">
      <w:start w:val="1"/>
      <w:numFmt w:val="lowerRoman"/>
      <w:lvlText w:val="%6."/>
      <w:lvlJc w:val="right"/>
      <w:pPr>
        <w:ind w:left="4320" w:hanging="180"/>
      </w:pPr>
    </w:lvl>
    <w:lvl w:ilvl="6" w:tplc="B7525F14" w:tentative="1">
      <w:start w:val="1"/>
      <w:numFmt w:val="decimal"/>
      <w:lvlText w:val="%7."/>
      <w:lvlJc w:val="left"/>
      <w:pPr>
        <w:ind w:left="5040" w:hanging="360"/>
      </w:pPr>
    </w:lvl>
    <w:lvl w:ilvl="7" w:tplc="16F2B704" w:tentative="1">
      <w:start w:val="1"/>
      <w:numFmt w:val="lowerLetter"/>
      <w:lvlText w:val="%8."/>
      <w:lvlJc w:val="left"/>
      <w:pPr>
        <w:ind w:left="5760" w:hanging="360"/>
      </w:pPr>
    </w:lvl>
    <w:lvl w:ilvl="8" w:tplc="B79677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55EB0"/>
    <w:multiLevelType w:val="hybridMultilevel"/>
    <w:tmpl w:val="ADAEA21C"/>
    <w:lvl w:ilvl="0" w:tplc="3B6CF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628B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CAA2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3232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DC3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A65F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6277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26D1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FA3C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0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54ED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46B"/>
    <w:rsid w:val="00092ABC"/>
    <w:rsid w:val="00097AAF"/>
    <w:rsid w:val="00097D13"/>
    <w:rsid w:val="000A2C36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7EF"/>
    <w:rsid w:val="000F6A06"/>
    <w:rsid w:val="0010154D"/>
    <w:rsid w:val="00102D3F"/>
    <w:rsid w:val="00102EC7"/>
    <w:rsid w:val="0010347D"/>
    <w:rsid w:val="00107FE8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05A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1306"/>
    <w:rsid w:val="001824ED"/>
    <w:rsid w:val="00183262"/>
    <w:rsid w:val="00184B03"/>
    <w:rsid w:val="00185C59"/>
    <w:rsid w:val="001870AA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1036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70F2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0D02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2675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467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6C4"/>
    <w:rsid w:val="00452FC3"/>
    <w:rsid w:val="00455936"/>
    <w:rsid w:val="00455ACE"/>
    <w:rsid w:val="00461951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0725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7EF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2AD4"/>
    <w:rsid w:val="006A47DA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208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0423"/>
    <w:rsid w:val="007E33B6"/>
    <w:rsid w:val="007E59E8"/>
    <w:rsid w:val="007F3861"/>
    <w:rsid w:val="007F4162"/>
    <w:rsid w:val="007F5441"/>
    <w:rsid w:val="007F5A88"/>
    <w:rsid w:val="007F7668"/>
    <w:rsid w:val="00800C63"/>
    <w:rsid w:val="00802243"/>
    <w:rsid w:val="008023D4"/>
    <w:rsid w:val="00805402"/>
    <w:rsid w:val="008062E7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291C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5EBA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D5FCC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310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55CC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1415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175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6B61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2D5A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0275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E7C9F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DE9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244D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45E3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54B9B2-C40C-4338-BDD8-6DAB5520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11D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1D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1DE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1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1DE9"/>
    <w:rPr>
      <w:b/>
      <w:bCs/>
    </w:rPr>
  </w:style>
  <w:style w:type="character" w:styleId="Hyperlink">
    <w:name w:val="Hyperlink"/>
    <w:basedOn w:val="DefaultParagraphFont"/>
    <w:unhideWhenUsed/>
    <w:rsid w:val="00C821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B6B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1745</Characters>
  <Application>Microsoft Office Word</Application>
  <DocSecurity>4</DocSecurity>
  <Lines>51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HB01866 (Committee Report (Unamended))</vt:lpstr>
    </vt:vector>
  </TitlesOfParts>
  <Company>State of Texas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18260</dc:subject>
  <dc:creator>State of Texas</dc:creator>
  <dc:description>HB 1866 by Lucio III-(H)Natural Resources</dc:description>
  <cp:lastModifiedBy>Emma Bodisch</cp:lastModifiedBy>
  <cp:revision>2</cp:revision>
  <cp:lastPrinted>2003-11-26T17:21:00Z</cp:lastPrinted>
  <dcterms:created xsi:type="dcterms:W3CDTF">2021-04-09T17:35:00Z</dcterms:created>
  <dcterms:modified xsi:type="dcterms:W3CDTF">2021-04-09T17:35:00Z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21.98.968</vt:lpwstr>
  </property>
</Properties>
</file>