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3154" w14:paraId="47D152B0" w14:textId="77777777" w:rsidTr="00345119">
        <w:tc>
          <w:tcPr>
            <w:tcW w:w="9576" w:type="dxa"/>
            <w:noWrap/>
          </w:tcPr>
          <w:p w14:paraId="7ED83760" w14:textId="77777777" w:rsidR="008423E4" w:rsidRPr="0022177D" w:rsidRDefault="00B47A71" w:rsidP="00D06E0C">
            <w:pPr>
              <w:pStyle w:val="Heading1"/>
            </w:pPr>
            <w:bookmarkStart w:id="0" w:name="_GoBack"/>
            <w:bookmarkEnd w:id="0"/>
            <w:r w:rsidRPr="00631897">
              <w:t>BILL ANALYSIS</w:t>
            </w:r>
          </w:p>
        </w:tc>
      </w:tr>
    </w:tbl>
    <w:p w14:paraId="445E0AAC" w14:textId="77777777" w:rsidR="008423E4" w:rsidRPr="0022177D" w:rsidRDefault="008423E4" w:rsidP="00D06E0C">
      <w:pPr>
        <w:jc w:val="center"/>
      </w:pPr>
    </w:p>
    <w:p w14:paraId="66CC2F11" w14:textId="77777777" w:rsidR="008423E4" w:rsidRPr="00B31F0E" w:rsidRDefault="008423E4" w:rsidP="00D06E0C"/>
    <w:p w14:paraId="42367D10" w14:textId="77777777" w:rsidR="008423E4" w:rsidRPr="00742794" w:rsidRDefault="008423E4" w:rsidP="00D06E0C">
      <w:pPr>
        <w:tabs>
          <w:tab w:val="right" w:pos="9360"/>
        </w:tabs>
      </w:pPr>
    </w:p>
    <w:tbl>
      <w:tblPr>
        <w:tblW w:w="0" w:type="auto"/>
        <w:tblLayout w:type="fixed"/>
        <w:tblLook w:val="01E0" w:firstRow="1" w:lastRow="1" w:firstColumn="1" w:lastColumn="1" w:noHBand="0" w:noVBand="0"/>
      </w:tblPr>
      <w:tblGrid>
        <w:gridCol w:w="9576"/>
      </w:tblGrid>
      <w:tr w:rsidR="005B3154" w14:paraId="2AC7DB1D" w14:textId="77777777" w:rsidTr="00345119">
        <w:tc>
          <w:tcPr>
            <w:tcW w:w="9576" w:type="dxa"/>
          </w:tcPr>
          <w:p w14:paraId="3F689924" w14:textId="482A422B" w:rsidR="008423E4" w:rsidRPr="00861995" w:rsidRDefault="00B47A71" w:rsidP="00D06E0C">
            <w:pPr>
              <w:jc w:val="right"/>
            </w:pPr>
            <w:r>
              <w:t>C.S.H.B. 1900</w:t>
            </w:r>
          </w:p>
        </w:tc>
      </w:tr>
      <w:tr w:rsidR="005B3154" w14:paraId="01EB24E5" w14:textId="77777777" w:rsidTr="00345119">
        <w:tc>
          <w:tcPr>
            <w:tcW w:w="9576" w:type="dxa"/>
          </w:tcPr>
          <w:p w14:paraId="502DA3A1" w14:textId="24CE4085" w:rsidR="008423E4" w:rsidRPr="00861995" w:rsidRDefault="00B47A71" w:rsidP="00505325">
            <w:pPr>
              <w:jc w:val="right"/>
            </w:pPr>
            <w:r>
              <w:t xml:space="preserve">By: </w:t>
            </w:r>
            <w:r w:rsidR="00505325">
              <w:t>Goldman</w:t>
            </w:r>
          </w:p>
        </w:tc>
      </w:tr>
      <w:tr w:rsidR="005B3154" w14:paraId="6AECA1FA" w14:textId="77777777" w:rsidTr="00345119">
        <w:tc>
          <w:tcPr>
            <w:tcW w:w="9576" w:type="dxa"/>
          </w:tcPr>
          <w:p w14:paraId="34F30AA8" w14:textId="43215AA1" w:rsidR="008423E4" w:rsidRPr="00861995" w:rsidRDefault="00B47A71" w:rsidP="00D06E0C">
            <w:pPr>
              <w:jc w:val="right"/>
            </w:pPr>
            <w:r>
              <w:t>State Affairs</w:t>
            </w:r>
          </w:p>
        </w:tc>
      </w:tr>
      <w:tr w:rsidR="005B3154" w14:paraId="3DD73165" w14:textId="77777777" w:rsidTr="00345119">
        <w:tc>
          <w:tcPr>
            <w:tcW w:w="9576" w:type="dxa"/>
          </w:tcPr>
          <w:p w14:paraId="130EE796" w14:textId="22ABF4B6" w:rsidR="008423E4" w:rsidRDefault="00B47A71" w:rsidP="00D06E0C">
            <w:pPr>
              <w:jc w:val="right"/>
            </w:pPr>
            <w:r>
              <w:t>Committee Report (Substituted)</w:t>
            </w:r>
          </w:p>
        </w:tc>
      </w:tr>
    </w:tbl>
    <w:p w14:paraId="038EC99C" w14:textId="77777777" w:rsidR="008423E4" w:rsidRDefault="008423E4" w:rsidP="00D06E0C">
      <w:pPr>
        <w:tabs>
          <w:tab w:val="right" w:pos="9360"/>
        </w:tabs>
      </w:pPr>
    </w:p>
    <w:p w14:paraId="17D917F4" w14:textId="77777777" w:rsidR="008423E4" w:rsidRDefault="008423E4" w:rsidP="00D06E0C"/>
    <w:p w14:paraId="7E789A8B" w14:textId="77777777" w:rsidR="008423E4" w:rsidRDefault="008423E4" w:rsidP="00D06E0C"/>
    <w:tbl>
      <w:tblPr>
        <w:tblW w:w="0" w:type="auto"/>
        <w:tblCellMar>
          <w:left w:w="115" w:type="dxa"/>
          <w:right w:w="115" w:type="dxa"/>
        </w:tblCellMar>
        <w:tblLook w:val="01E0" w:firstRow="1" w:lastRow="1" w:firstColumn="1" w:lastColumn="1" w:noHBand="0" w:noVBand="0"/>
      </w:tblPr>
      <w:tblGrid>
        <w:gridCol w:w="9360"/>
      </w:tblGrid>
      <w:tr w:rsidR="005B3154" w14:paraId="7D7A1493" w14:textId="77777777" w:rsidTr="00CB62DF">
        <w:tc>
          <w:tcPr>
            <w:tcW w:w="9360" w:type="dxa"/>
          </w:tcPr>
          <w:p w14:paraId="73CDBB75" w14:textId="77777777" w:rsidR="008423E4" w:rsidRPr="00A8133F" w:rsidRDefault="00B47A71" w:rsidP="00D06E0C">
            <w:pPr>
              <w:rPr>
                <w:b/>
              </w:rPr>
            </w:pPr>
            <w:r w:rsidRPr="009C1E9A">
              <w:rPr>
                <w:b/>
                <w:u w:val="single"/>
              </w:rPr>
              <w:t>BACKGROUND AND PURPOSE</w:t>
            </w:r>
            <w:r>
              <w:rPr>
                <w:b/>
              </w:rPr>
              <w:t xml:space="preserve"> </w:t>
            </w:r>
          </w:p>
          <w:p w14:paraId="369D662D" w14:textId="77777777" w:rsidR="008423E4" w:rsidRDefault="008423E4" w:rsidP="00D06E0C"/>
          <w:p w14:paraId="4F658AC3" w14:textId="04E4E21A" w:rsidR="008423E4" w:rsidRDefault="00B47A71" w:rsidP="00D06E0C">
            <w:pPr>
              <w:pStyle w:val="Header"/>
              <w:tabs>
                <w:tab w:val="clear" w:pos="4320"/>
                <w:tab w:val="clear" w:pos="8640"/>
              </w:tabs>
              <w:jc w:val="both"/>
            </w:pPr>
            <w:r>
              <w:t xml:space="preserve">Recently, cities across the United States, including in Texas, have taken action to </w:t>
            </w:r>
            <w:r w:rsidR="005A0A94" w:rsidRPr="005A0A94">
              <w:t>cut police department budget</w:t>
            </w:r>
            <w:r>
              <w:t>s</w:t>
            </w:r>
            <w:r w:rsidR="005A0A94" w:rsidRPr="005A0A94">
              <w:t xml:space="preserve">. </w:t>
            </w:r>
            <w:r>
              <w:t xml:space="preserve">Interested parties have noted these actions </w:t>
            </w:r>
            <w:r w:rsidR="003E2AA0">
              <w:t>leave the citizens of Texas and visitors to the state more vulnerable to crime</w:t>
            </w:r>
            <w:r w:rsidR="005A0A94" w:rsidRPr="005A0A94">
              <w:t xml:space="preserve">. </w:t>
            </w:r>
            <w:r w:rsidR="005A0A94">
              <w:t xml:space="preserve">There have been calls for the state to step in and ensure that </w:t>
            </w:r>
            <w:r w:rsidR="003E2AA0">
              <w:t xml:space="preserve">the well-being and safety of </w:t>
            </w:r>
            <w:r w:rsidR="005A0A94">
              <w:t xml:space="preserve">Texans </w:t>
            </w:r>
            <w:r w:rsidR="003E2AA0">
              <w:t>remain</w:t>
            </w:r>
            <w:r w:rsidR="005A0A94">
              <w:t xml:space="preserve"> protected from </w:t>
            </w:r>
            <w:r w:rsidR="003E2AA0">
              <w:t xml:space="preserve">the potential effects of cutting </w:t>
            </w:r>
            <w:r w:rsidR="005A0A94">
              <w:t xml:space="preserve">public safety spending. C.S.H.B. 1900 seeks to answer those calls by allowing </w:t>
            </w:r>
            <w:r w:rsidR="005A0A94" w:rsidRPr="005A0A94">
              <w:t xml:space="preserve">the criminal justice division of the governor's office </w:t>
            </w:r>
            <w:r w:rsidR="005A0A94">
              <w:t>to identify a</w:t>
            </w:r>
            <w:r w:rsidR="004363EE">
              <w:t>n applicable</w:t>
            </w:r>
            <w:r w:rsidR="005A0A94">
              <w:t xml:space="preserve"> municipality that reduces appropriations to its police department year-over-year</w:t>
            </w:r>
            <w:r w:rsidR="00F278C9">
              <w:t>, as specified under the bill's provisions,</w:t>
            </w:r>
            <w:r w:rsidR="005A0A94">
              <w:t xml:space="preserve"> as a defunding municipality and </w:t>
            </w:r>
            <w:r w:rsidR="00715D76">
              <w:t>establishing restrictions on these municipalities' powers</w:t>
            </w:r>
            <w:r w:rsidR="005A0A94" w:rsidRPr="005A0A94">
              <w:t xml:space="preserve"> </w:t>
            </w:r>
            <w:r w:rsidR="00C458DA">
              <w:t xml:space="preserve">with regard to annexation, taxation, and charges from a municipality-owned utility, as applicable, </w:t>
            </w:r>
            <w:r w:rsidR="00715D76">
              <w:t xml:space="preserve">until </w:t>
            </w:r>
            <w:r w:rsidR="005A0A94" w:rsidRPr="005A0A94">
              <w:t xml:space="preserve">the reductions </w:t>
            </w:r>
            <w:r w:rsidR="00715D76">
              <w:t>are reversed,</w:t>
            </w:r>
            <w:r w:rsidR="005A0A94" w:rsidRPr="005A0A94">
              <w:t xml:space="preserve"> adjusted for inflation.</w:t>
            </w:r>
          </w:p>
          <w:p w14:paraId="05894072" w14:textId="77777777" w:rsidR="008423E4" w:rsidRPr="00E26B13" w:rsidRDefault="008423E4" w:rsidP="00D06E0C">
            <w:pPr>
              <w:rPr>
                <w:b/>
              </w:rPr>
            </w:pPr>
          </w:p>
        </w:tc>
      </w:tr>
      <w:tr w:rsidR="005B3154" w14:paraId="39BF05E5" w14:textId="77777777" w:rsidTr="00CB62DF">
        <w:tc>
          <w:tcPr>
            <w:tcW w:w="9360" w:type="dxa"/>
          </w:tcPr>
          <w:p w14:paraId="4F745053" w14:textId="77777777" w:rsidR="0017725B" w:rsidRDefault="00B47A71" w:rsidP="00D06E0C">
            <w:pPr>
              <w:rPr>
                <w:b/>
                <w:u w:val="single"/>
              </w:rPr>
            </w:pPr>
            <w:r>
              <w:rPr>
                <w:b/>
                <w:u w:val="single"/>
              </w:rPr>
              <w:t>CRIMINAL JUSTICE IMPACT</w:t>
            </w:r>
          </w:p>
          <w:p w14:paraId="3C3A62FC" w14:textId="77777777" w:rsidR="0017725B" w:rsidRDefault="0017725B" w:rsidP="00D06E0C">
            <w:pPr>
              <w:rPr>
                <w:b/>
                <w:u w:val="single"/>
              </w:rPr>
            </w:pPr>
          </w:p>
          <w:p w14:paraId="59E6C3D9" w14:textId="3A71FA78" w:rsidR="00060DF2" w:rsidRPr="00060DF2" w:rsidRDefault="00B47A71" w:rsidP="00D06E0C">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7F995E2E" w14:textId="77777777" w:rsidR="0017725B" w:rsidRPr="0017725B" w:rsidRDefault="0017725B" w:rsidP="00D06E0C">
            <w:pPr>
              <w:rPr>
                <w:b/>
                <w:u w:val="single"/>
              </w:rPr>
            </w:pPr>
          </w:p>
        </w:tc>
      </w:tr>
      <w:tr w:rsidR="005B3154" w14:paraId="5E1238B0" w14:textId="77777777" w:rsidTr="00CB62DF">
        <w:tc>
          <w:tcPr>
            <w:tcW w:w="9360" w:type="dxa"/>
          </w:tcPr>
          <w:p w14:paraId="7051ED58" w14:textId="77777777" w:rsidR="008423E4" w:rsidRPr="00A8133F" w:rsidRDefault="00B47A71" w:rsidP="00D06E0C">
            <w:pPr>
              <w:rPr>
                <w:b/>
              </w:rPr>
            </w:pPr>
            <w:r w:rsidRPr="009C1E9A">
              <w:rPr>
                <w:b/>
                <w:u w:val="single"/>
              </w:rPr>
              <w:t>RULEMAKING AUTHORITY</w:t>
            </w:r>
            <w:r>
              <w:rPr>
                <w:b/>
              </w:rPr>
              <w:t xml:space="preserve"> </w:t>
            </w:r>
          </w:p>
          <w:p w14:paraId="120B29EE" w14:textId="77777777" w:rsidR="008423E4" w:rsidRDefault="008423E4" w:rsidP="00D06E0C"/>
          <w:p w14:paraId="59712FF7" w14:textId="01DFB3F1" w:rsidR="00060DF2" w:rsidRDefault="00B47A71" w:rsidP="00D06E0C">
            <w:pPr>
              <w:pStyle w:val="Header"/>
              <w:tabs>
                <w:tab w:val="clear" w:pos="4320"/>
                <w:tab w:val="clear" w:pos="8640"/>
              </w:tabs>
              <w:jc w:val="both"/>
            </w:pPr>
            <w:r>
              <w:t xml:space="preserve">It is the committee's opinion that rulemaking authority is expressly granted to the criminal justice division of the governor's office in SECTION </w:t>
            </w:r>
            <w:r>
              <w:t>1.01 of this bill.</w:t>
            </w:r>
          </w:p>
          <w:p w14:paraId="28DDBFC2" w14:textId="77777777" w:rsidR="008423E4" w:rsidRPr="00E21FDC" w:rsidRDefault="008423E4" w:rsidP="00D06E0C">
            <w:pPr>
              <w:rPr>
                <w:b/>
              </w:rPr>
            </w:pPr>
          </w:p>
        </w:tc>
      </w:tr>
      <w:tr w:rsidR="005B3154" w14:paraId="182BAFCF" w14:textId="77777777" w:rsidTr="00CB62DF">
        <w:tc>
          <w:tcPr>
            <w:tcW w:w="9360" w:type="dxa"/>
          </w:tcPr>
          <w:p w14:paraId="7C158F27" w14:textId="77777777" w:rsidR="008423E4" w:rsidRPr="00A8133F" w:rsidRDefault="00B47A71" w:rsidP="00D06E0C">
            <w:pPr>
              <w:rPr>
                <w:b/>
              </w:rPr>
            </w:pPr>
            <w:r w:rsidRPr="009C1E9A">
              <w:rPr>
                <w:b/>
                <w:u w:val="single"/>
              </w:rPr>
              <w:t>ANALYSIS</w:t>
            </w:r>
            <w:r>
              <w:rPr>
                <w:b/>
              </w:rPr>
              <w:t xml:space="preserve"> </w:t>
            </w:r>
          </w:p>
          <w:p w14:paraId="6221B57D" w14:textId="77777777" w:rsidR="008423E4" w:rsidRDefault="008423E4" w:rsidP="00D06E0C"/>
          <w:p w14:paraId="2322E1E8" w14:textId="17E79662" w:rsidR="00FB06FC" w:rsidRDefault="00B47A71" w:rsidP="00D06E0C">
            <w:pPr>
              <w:pStyle w:val="Header"/>
              <w:tabs>
                <w:tab w:val="clear" w:pos="4320"/>
                <w:tab w:val="clear" w:pos="8640"/>
              </w:tabs>
              <w:jc w:val="both"/>
            </w:pPr>
            <w:r>
              <w:t>C.S.</w:t>
            </w:r>
            <w:r w:rsidR="00C27565">
              <w:t xml:space="preserve">H.B. </w:t>
            </w:r>
            <w:r w:rsidR="00B67C8C">
              <w:t>1900</w:t>
            </w:r>
            <w:r w:rsidR="00C27565">
              <w:t xml:space="preserve"> </w:t>
            </w:r>
            <w:r>
              <w:t xml:space="preserve">establishes provisions classifying certain </w:t>
            </w:r>
            <w:r w:rsidRPr="00FB06FC">
              <w:t xml:space="preserve">municipalities that adopt budgets that </w:t>
            </w:r>
            <w:r w:rsidR="00CE23DE">
              <w:t>reduce appropriations to their</w:t>
            </w:r>
            <w:r w:rsidRPr="00FB06FC">
              <w:t xml:space="preserve"> municipal police departments</w:t>
            </w:r>
            <w:r w:rsidR="00F278C9">
              <w:t>, as specified under the bill's provisions,</w:t>
            </w:r>
            <w:r>
              <w:t xml:space="preserve"> as defunding municipalities and </w:t>
            </w:r>
            <w:r w:rsidR="000D4DD4">
              <w:t>set</w:t>
            </w:r>
            <w:r w:rsidR="009A76B9">
              <w:t>s</w:t>
            </w:r>
            <w:r>
              <w:t xml:space="preserve"> </w:t>
            </w:r>
            <w:r w:rsidR="003F728B">
              <w:t>restrictions</w:t>
            </w:r>
            <w:r>
              <w:t xml:space="preserve"> on the </w:t>
            </w:r>
            <w:r w:rsidR="003F728B">
              <w:t xml:space="preserve">powers of </w:t>
            </w:r>
            <w:r w:rsidR="000D4DD4">
              <w:t>those</w:t>
            </w:r>
            <w:r w:rsidR="003F728B">
              <w:t xml:space="preserve"> municipalities. </w:t>
            </w:r>
            <w:r>
              <w:t xml:space="preserve"> </w:t>
            </w:r>
          </w:p>
          <w:p w14:paraId="608CDD29" w14:textId="565F83F4" w:rsidR="00FB06FC" w:rsidRDefault="00FB06FC" w:rsidP="00D06E0C">
            <w:pPr>
              <w:pStyle w:val="Header"/>
              <w:tabs>
                <w:tab w:val="clear" w:pos="4320"/>
                <w:tab w:val="clear" w:pos="8640"/>
              </w:tabs>
              <w:jc w:val="both"/>
            </w:pPr>
          </w:p>
          <w:p w14:paraId="29561197" w14:textId="7777C471" w:rsidR="00FB06FC" w:rsidRPr="00B2126B" w:rsidRDefault="00B47A71" w:rsidP="00D06E0C">
            <w:pPr>
              <w:pStyle w:val="Header"/>
              <w:tabs>
                <w:tab w:val="clear" w:pos="4320"/>
                <w:tab w:val="clear" w:pos="8640"/>
              </w:tabs>
              <w:jc w:val="both"/>
              <w:rPr>
                <w:b/>
              </w:rPr>
            </w:pPr>
            <w:r>
              <w:rPr>
                <w:b/>
              </w:rPr>
              <w:t>Defunding Municipality Determination</w:t>
            </w:r>
          </w:p>
          <w:p w14:paraId="55D50CDC" w14:textId="77777777" w:rsidR="00FB06FC" w:rsidRDefault="00FB06FC" w:rsidP="00D06E0C">
            <w:pPr>
              <w:pStyle w:val="Header"/>
              <w:tabs>
                <w:tab w:val="clear" w:pos="4320"/>
                <w:tab w:val="clear" w:pos="8640"/>
              </w:tabs>
              <w:jc w:val="both"/>
            </w:pPr>
          </w:p>
          <w:p w14:paraId="1112DE88" w14:textId="61B5D0D2" w:rsidR="00AD35D4" w:rsidRDefault="00B47A71" w:rsidP="00D06E0C">
            <w:pPr>
              <w:pStyle w:val="Header"/>
              <w:tabs>
                <w:tab w:val="clear" w:pos="4320"/>
                <w:tab w:val="clear" w:pos="8640"/>
              </w:tabs>
              <w:jc w:val="both"/>
            </w:pPr>
            <w:r>
              <w:t xml:space="preserve">C.S.H.B. 1900 </w:t>
            </w:r>
            <w:r w:rsidR="00C27565">
              <w:t xml:space="preserve">amends the Local Government Code to classify a municipality </w:t>
            </w:r>
            <w:r w:rsidR="00B95A51">
              <w:t xml:space="preserve">with a population of more than 250,000 </w:t>
            </w:r>
            <w:r w:rsidR="00C27565">
              <w:t xml:space="preserve">that </w:t>
            </w:r>
            <w:r w:rsidR="00C27565" w:rsidRPr="00C27565">
              <w:t xml:space="preserve">adopts a budget for a fiscal year that, in comparison to the </w:t>
            </w:r>
            <w:r w:rsidR="00C27565">
              <w:t xml:space="preserve">preceding fiscal year, reduces </w:t>
            </w:r>
            <w:r w:rsidR="00B95A51">
              <w:t xml:space="preserve">the appropriation </w:t>
            </w:r>
            <w:r>
              <w:t xml:space="preserve">to </w:t>
            </w:r>
            <w:r w:rsidR="00385FA0">
              <w:t xml:space="preserve">the municipality's </w:t>
            </w:r>
            <w:r w:rsidR="00B95A51">
              <w:t>police</w:t>
            </w:r>
            <w:r>
              <w:t xml:space="preserve"> </w:t>
            </w:r>
            <w:r w:rsidR="009A76B9">
              <w:t xml:space="preserve">department </w:t>
            </w:r>
            <w:r>
              <w:t xml:space="preserve">as a defunding </w:t>
            </w:r>
            <w:r w:rsidR="00B95A51">
              <w:t>municipality</w:t>
            </w:r>
            <w:r>
              <w:t xml:space="preserve"> if </w:t>
            </w:r>
            <w:r w:rsidRPr="00AD35D4">
              <w:t>the criminal</w:t>
            </w:r>
            <w:r w:rsidRPr="00AD35D4">
              <w:t xml:space="preserve"> justice division of the governor's office issues a written determination finding that the </w:t>
            </w:r>
            <w:r>
              <w:t xml:space="preserve">municipality </w:t>
            </w:r>
            <w:r w:rsidRPr="00AD35D4">
              <w:t xml:space="preserve">has </w:t>
            </w:r>
            <w:r w:rsidR="00B95A51">
              <w:t xml:space="preserve">made the reduction. </w:t>
            </w:r>
            <w:r>
              <w:t xml:space="preserve">The bill requires the division, in making </w:t>
            </w:r>
            <w:r w:rsidRPr="00AD35D4">
              <w:t xml:space="preserve">a determination of whether a </w:t>
            </w:r>
            <w:r>
              <w:t xml:space="preserve">municipality </w:t>
            </w:r>
            <w:r w:rsidRPr="00AD35D4">
              <w:t xml:space="preserve">is a defunding </w:t>
            </w:r>
            <w:r w:rsidR="00B95A51">
              <w:t>municipality</w:t>
            </w:r>
            <w:r w:rsidRPr="00AD35D4">
              <w:t xml:space="preserve"> according to the</w:t>
            </w:r>
            <w:r w:rsidRPr="00AD35D4">
              <w:t xml:space="preserve"> budget adopted for the first fiscal year beginning on or after September 1, 2021</w:t>
            </w:r>
            <w:r>
              <w:t xml:space="preserve">, to </w:t>
            </w:r>
            <w:r w:rsidRPr="00AD35D4">
              <w:t xml:space="preserve">compare the </w:t>
            </w:r>
            <w:r w:rsidR="00B95A51">
              <w:t>appropriation to the municipality's police department</w:t>
            </w:r>
            <w:r w:rsidRPr="00AD35D4">
              <w:t xml:space="preserve"> in that budget to the </w:t>
            </w:r>
            <w:r w:rsidR="00B95A51">
              <w:t>appropriation</w:t>
            </w:r>
            <w:r w:rsidRPr="00AD35D4">
              <w:t xml:space="preserve"> in the budget of the preceding fiscal year or the second preceding f</w:t>
            </w:r>
            <w:r w:rsidRPr="00AD35D4">
              <w:t>iscal year, whichever is greater</w:t>
            </w:r>
            <w:r>
              <w:t>.</w:t>
            </w:r>
            <w:r w:rsidR="00B71BAF">
              <w:t xml:space="preserve"> The bill's provisions relating to this initial determination expire September 1, 2023.</w:t>
            </w:r>
          </w:p>
          <w:p w14:paraId="4103189E" w14:textId="5FD17644" w:rsidR="00AD35D4" w:rsidRDefault="00AD35D4" w:rsidP="00D06E0C">
            <w:pPr>
              <w:pStyle w:val="Header"/>
              <w:tabs>
                <w:tab w:val="clear" w:pos="4320"/>
                <w:tab w:val="clear" w:pos="8640"/>
              </w:tabs>
              <w:jc w:val="both"/>
            </w:pPr>
          </w:p>
          <w:p w14:paraId="4330B9EE" w14:textId="5FEDBAAD" w:rsidR="00423ED4" w:rsidRDefault="00B47A71" w:rsidP="00D06E0C">
            <w:pPr>
              <w:pStyle w:val="Header"/>
              <w:tabs>
                <w:tab w:val="clear" w:pos="4320"/>
                <w:tab w:val="clear" w:pos="8640"/>
              </w:tabs>
              <w:jc w:val="both"/>
            </w:pPr>
            <w:r>
              <w:t>C.S.</w:t>
            </w:r>
            <w:r w:rsidR="00AD35D4">
              <w:t xml:space="preserve">H.B. </w:t>
            </w:r>
            <w:r w:rsidR="00B67C8C">
              <w:t>1900</w:t>
            </w:r>
            <w:r w:rsidR="00AD35D4">
              <w:t xml:space="preserve"> establishes that a</w:t>
            </w:r>
            <w:r w:rsidR="00AD35D4" w:rsidRPr="00AD35D4">
              <w:t xml:space="preserve"> </w:t>
            </w:r>
            <w:r w:rsidR="00AD35D4">
              <w:t xml:space="preserve">municipality </w:t>
            </w:r>
            <w:r w:rsidR="00AD35D4" w:rsidRPr="00AD35D4">
              <w:t xml:space="preserve">is </w:t>
            </w:r>
            <w:r>
              <w:t xml:space="preserve">not </w:t>
            </w:r>
            <w:r w:rsidR="00AD35D4" w:rsidRPr="00AD35D4">
              <w:t xml:space="preserve">considered to be a defunding </w:t>
            </w:r>
            <w:r>
              <w:t>municipality</w:t>
            </w:r>
            <w:r w:rsidR="00AD35D4" w:rsidRPr="00AD35D4">
              <w:t xml:space="preserve"> </w:t>
            </w:r>
            <w:r>
              <w:t xml:space="preserve">if, </w:t>
            </w:r>
            <w:r w:rsidRPr="00423ED4">
              <w:t>for a fiscal year in which the muni</w:t>
            </w:r>
            <w:r w:rsidRPr="00423ED4">
              <w:t>cipality adopts a budget that is less than the budget for the preceding fiscal year, the percentage reduction to the appropriation to the municipality's police department does not exceed the percentage reduction to the total budget</w:t>
            </w:r>
            <w:r>
              <w:t xml:space="preserve">. A municipality is also </w:t>
            </w:r>
            <w:r>
              <w:t xml:space="preserve">not considered to be a defunding municipality if, </w:t>
            </w:r>
            <w:r w:rsidRPr="00423ED4">
              <w:t>before the adoption of a budget, the municipality applies for and is granted approval from the division for a reduction to the appropriation to the municipality's police department to account for</w:t>
            </w:r>
            <w:r>
              <w:t xml:space="preserve"> one of the</w:t>
            </w:r>
            <w:r>
              <w:t xml:space="preserve"> following:</w:t>
            </w:r>
          </w:p>
          <w:p w14:paraId="72949251" w14:textId="77777777" w:rsidR="00423ED4" w:rsidRDefault="00B47A71" w:rsidP="00D06E0C">
            <w:pPr>
              <w:pStyle w:val="Header"/>
              <w:numPr>
                <w:ilvl w:val="0"/>
                <w:numId w:val="3"/>
              </w:numPr>
              <w:jc w:val="both"/>
            </w:pPr>
            <w:r>
              <w:t>capital expenditures related to law enforcement during the preceding fiscal year;</w:t>
            </w:r>
          </w:p>
          <w:p w14:paraId="4408BE4D" w14:textId="6E0036E4" w:rsidR="00423ED4" w:rsidRDefault="00B47A71" w:rsidP="00D06E0C">
            <w:pPr>
              <w:pStyle w:val="Header"/>
              <w:numPr>
                <w:ilvl w:val="0"/>
                <w:numId w:val="3"/>
              </w:numPr>
              <w:jc w:val="both"/>
            </w:pPr>
            <w:r>
              <w:t xml:space="preserve">the municipality's response to a state of disaster declared </w:t>
            </w:r>
            <w:r w:rsidR="00145564">
              <w:t>by the governor</w:t>
            </w:r>
            <w:r>
              <w:t>; or</w:t>
            </w:r>
          </w:p>
          <w:p w14:paraId="328684DE" w14:textId="6291007D" w:rsidR="00423ED4" w:rsidRDefault="00B47A71" w:rsidP="00D06E0C">
            <w:pPr>
              <w:pStyle w:val="Header"/>
              <w:numPr>
                <w:ilvl w:val="0"/>
                <w:numId w:val="3"/>
              </w:numPr>
              <w:tabs>
                <w:tab w:val="clear" w:pos="4320"/>
                <w:tab w:val="clear" w:pos="8640"/>
              </w:tabs>
              <w:jc w:val="both"/>
            </w:pPr>
            <w:r>
              <w:t>another reason approved by the division.</w:t>
            </w:r>
          </w:p>
          <w:p w14:paraId="6FCC9EFD" w14:textId="505DDF42" w:rsidR="00145564" w:rsidRDefault="00B47A71" w:rsidP="00D06E0C">
            <w:pPr>
              <w:pStyle w:val="Header"/>
              <w:tabs>
                <w:tab w:val="clear" w:pos="4320"/>
                <w:tab w:val="clear" w:pos="8640"/>
              </w:tabs>
              <w:jc w:val="both"/>
            </w:pPr>
            <w:r>
              <w:t>The bill requires the division to adopt r</w:t>
            </w:r>
            <w:r>
              <w:t>ules establishing the criteria the division uses to approve reductions.</w:t>
            </w:r>
          </w:p>
          <w:p w14:paraId="793E59EE" w14:textId="77777777" w:rsidR="00423ED4" w:rsidRDefault="00423ED4" w:rsidP="00D06E0C">
            <w:pPr>
              <w:pStyle w:val="Header"/>
              <w:tabs>
                <w:tab w:val="clear" w:pos="4320"/>
                <w:tab w:val="clear" w:pos="8640"/>
              </w:tabs>
              <w:jc w:val="both"/>
            </w:pPr>
          </w:p>
          <w:p w14:paraId="01B2F090" w14:textId="716525FA" w:rsidR="00AD35D4" w:rsidRDefault="00B47A71" w:rsidP="00D06E0C">
            <w:pPr>
              <w:pStyle w:val="Header"/>
              <w:tabs>
                <w:tab w:val="clear" w:pos="4320"/>
                <w:tab w:val="clear" w:pos="8640"/>
              </w:tabs>
              <w:jc w:val="both"/>
            </w:pPr>
            <w:r>
              <w:t xml:space="preserve">C.S.H.B. 1900 establishes that a municipality's defunding determination continues </w:t>
            </w:r>
            <w:r w:rsidRPr="00AD35D4">
              <w:t xml:space="preserve">until the division issues a written determination finding that the </w:t>
            </w:r>
            <w:r w:rsidR="006E121A">
              <w:t xml:space="preserve">municipality </w:t>
            </w:r>
            <w:r w:rsidRPr="00AD35D4">
              <w:t xml:space="preserve">has reversed the </w:t>
            </w:r>
            <w:r w:rsidRPr="00AD35D4">
              <w:t>reductions, adjusted for inflation</w:t>
            </w:r>
            <w:r w:rsidR="006E121A">
              <w:t xml:space="preserve">. The bill requires the division to </w:t>
            </w:r>
            <w:r w:rsidR="006E121A" w:rsidRPr="006E121A">
              <w:t xml:space="preserve">compute </w:t>
            </w:r>
            <w:r w:rsidR="006E121A">
              <w:t xml:space="preserve">and publish in the Texas Register </w:t>
            </w:r>
            <w:r w:rsidR="006E121A" w:rsidRPr="006E121A">
              <w:t xml:space="preserve">the inflation rate used to make </w:t>
            </w:r>
            <w:r w:rsidR="006E121A">
              <w:t xml:space="preserve">that </w:t>
            </w:r>
            <w:r w:rsidR="006E121A" w:rsidRPr="006E121A">
              <w:t xml:space="preserve">determination each state fiscal year using a price index that accurately reports changes in the purchasing power of the dollar for </w:t>
            </w:r>
            <w:r>
              <w:t>municipalities</w:t>
            </w:r>
            <w:r w:rsidR="006E121A" w:rsidRPr="006E121A">
              <w:t xml:space="preserve"> in </w:t>
            </w:r>
            <w:r w:rsidR="006E121A">
              <w:t>Texas.</w:t>
            </w:r>
          </w:p>
          <w:p w14:paraId="502A213D" w14:textId="4C1F1551" w:rsidR="003F728B" w:rsidRDefault="003F728B" w:rsidP="00D06E0C">
            <w:pPr>
              <w:pStyle w:val="Header"/>
              <w:tabs>
                <w:tab w:val="clear" w:pos="4320"/>
                <w:tab w:val="clear" w:pos="8640"/>
              </w:tabs>
              <w:jc w:val="both"/>
            </w:pPr>
          </w:p>
          <w:p w14:paraId="5F819340" w14:textId="6FEE981E" w:rsidR="003F728B" w:rsidRPr="00B2126B" w:rsidRDefault="00B47A71" w:rsidP="00D06E0C">
            <w:pPr>
              <w:pStyle w:val="Header"/>
              <w:tabs>
                <w:tab w:val="clear" w:pos="4320"/>
                <w:tab w:val="clear" w:pos="8640"/>
              </w:tabs>
              <w:jc w:val="both"/>
              <w:rPr>
                <w:b/>
              </w:rPr>
            </w:pPr>
            <w:r>
              <w:rPr>
                <w:b/>
              </w:rPr>
              <w:t>Annexation by and Disannexation from Defunding Municipalities</w:t>
            </w:r>
          </w:p>
          <w:p w14:paraId="00FB7DF3" w14:textId="67436461" w:rsidR="00404FA3" w:rsidRDefault="00404FA3" w:rsidP="00D06E0C">
            <w:pPr>
              <w:pStyle w:val="Header"/>
              <w:tabs>
                <w:tab w:val="clear" w:pos="4320"/>
                <w:tab w:val="clear" w:pos="8640"/>
              </w:tabs>
              <w:jc w:val="both"/>
            </w:pPr>
          </w:p>
          <w:p w14:paraId="615134A0" w14:textId="77F5B9B5" w:rsidR="00163F31" w:rsidRDefault="00B47A71">
            <w:pPr>
              <w:pStyle w:val="Header"/>
              <w:tabs>
                <w:tab w:val="clear" w:pos="4320"/>
                <w:tab w:val="clear" w:pos="8640"/>
              </w:tabs>
              <w:jc w:val="both"/>
            </w:pPr>
            <w:r>
              <w:t>C.S.</w:t>
            </w:r>
            <w:r w:rsidR="00404FA3">
              <w:t>H.B. 1900</w:t>
            </w:r>
            <w:r w:rsidR="00552722">
              <w:t xml:space="preserve"> </w:t>
            </w:r>
            <w:r w:rsidR="003F728B">
              <w:t xml:space="preserve">amends the Local Government Code to </w:t>
            </w:r>
            <w:r w:rsidR="00552722">
              <w:t>prohibit a</w:t>
            </w:r>
            <w:r w:rsidR="00552722" w:rsidRPr="00552722">
              <w:t xml:space="preserve"> </w:t>
            </w:r>
            <w:r w:rsidR="00552722">
              <w:t xml:space="preserve">home-rule </w:t>
            </w:r>
            <w:r w:rsidR="00552722" w:rsidRPr="00552722">
              <w:t xml:space="preserve">municipality </w:t>
            </w:r>
            <w:r w:rsidR="00774950">
              <w:t xml:space="preserve">that is determined to be a defunding </w:t>
            </w:r>
            <w:r w:rsidR="003F728B">
              <w:t>municipality</w:t>
            </w:r>
            <w:r w:rsidR="00774950">
              <w:t xml:space="preserve"> </w:t>
            </w:r>
            <w:r w:rsidR="00552722">
              <w:t>from</w:t>
            </w:r>
            <w:r w:rsidR="00552722" w:rsidRPr="00552722">
              <w:t xml:space="preserve"> annex</w:t>
            </w:r>
            <w:r w:rsidR="00552722">
              <w:t>ing</w:t>
            </w:r>
            <w:r w:rsidR="00552722" w:rsidRPr="00552722">
              <w:t xml:space="preserve"> an area during the period beginning on the</w:t>
            </w:r>
            <w:r w:rsidR="00DF18A7">
              <w:t xml:space="preserve"> date that the division issues the</w:t>
            </w:r>
            <w:r w:rsidR="00552722" w:rsidRPr="00552722">
              <w:t xml:space="preserve"> </w:t>
            </w:r>
            <w:r w:rsidR="000A3D72">
              <w:t>defunding</w:t>
            </w:r>
            <w:r w:rsidR="000A3D72" w:rsidRPr="00552722">
              <w:t xml:space="preserve"> </w:t>
            </w:r>
            <w:r w:rsidR="00552722" w:rsidRPr="00552722">
              <w:t>determination</w:t>
            </w:r>
            <w:r w:rsidR="000A3D72">
              <w:t xml:space="preserve"> </w:t>
            </w:r>
            <w:r w:rsidR="00552722" w:rsidRPr="00552722">
              <w:t xml:space="preserve">and ending on the 10th anniversary of the date on which the division issues </w:t>
            </w:r>
            <w:r w:rsidR="00DF18A7">
              <w:t>the</w:t>
            </w:r>
            <w:r w:rsidR="00552722" w:rsidRPr="00552722">
              <w:t xml:space="preserve"> determination finding that the </w:t>
            </w:r>
            <w:r w:rsidR="00774950">
              <w:t xml:space="preserve">applicable reductions were reversed. The bill </w:t>
            </w:r>
            <w:r w:rsidR="005F4F87">
              <w:t xml:space="preserve">requires </w:t>
            </w:r>
            <w:r w:rsidR="00774950">
              <w:t>the municipality</w:t>
            </w:r>
            <w:r w:rsidR="005F4F87">
              <w:t xml:space="preserve"> to hold </w:t>
            </w:r>
            <w:r w:rsidR="005F4F87" w:rsidRPr="005F4F87">
              <w:t>a separate election in each area annexed</w:t>
            </w:r>
            <w:r w:rsidR="005F4F87">
              <w:t xml:space="preserve"> by the municipality</w:t>
            </w:r>
            <w:r w:rsidR="005F4F87" w:rsidRPr="005F4F87">
              <w:t xml:space="preserve"> in the preceding 30 years on the question of disannexing the area</w:t>
            </w:r>
            <w:r w:rsidR="009B62F0">
              <w:t>. The election</w:t>
            </w:r>
            <w:r w:rsidR="005F4F87">
              <w:t xml:space="preserve"> is to be held on the next uniform election date that occurs after the date on which the division issues the determination that the municipality is a defunding </w:t>
            </w:r>
            <w:r w:rsidR="003F728B">
              <w:t>municipality</w:t>
            </w:r>
            <w:r w:rsidR="005F4F87">
              <w:t xml:space="preserve"> and the time required under state law for ordering an election. </w:t>
            </w:r>
            <w:r w:rsidR="005F6F95">
              <w:t>The bill prohibits the municipality from using public funds on information campaigns relating to the election. The municipality is required to immediately disannex by ordinance any area that votes in favor of disannexation in such an election and is prohibited from attempting to reannex the area before the expiration of the municipality's 10</w:t>
            </w:r>
            <w:r w:rsidR="000F29C0">
              <w:noBreakHyphen/>
            </w:r>
            <w:r w:rsidR="005F6F95">
              <w:t>year annexation moratorium.</w:t>
            </w:r>
          </w:p>
          <w:p w14:paraId="67180241" w14:textId="7E18E326" w:rsidR="003F728B" w:rsidRDefault="003F728B" w:rsidP="00D06E0C">
            <w:pPr>
              <w:pStyle w:val="Header"/>
              <w:tabs>
                <w:tab w:val="clear" w:pos="4320"/>
                <w:tab w:val="clear" w:pos="8640"/>
              </w:tabs>
              <w:jc w:val="both"/>
            </w:pPr>
          </w:p>
          <w:p w14:paraId="1BCF1DFF" w14:textId="76304AED" w:rsidR="003F728B" w:rsidRPr="00B2126B" w:rsidRDefault="00B47A71" w:rsidP="00D06E0C">
            <w:pPr>
              <w:pStyle w:val="Header"/>
              <w:tabs>
                <w:tab w:val="clear" w:pos="4320"/>
                <w:tab w:val="clear" w:pos="8640"/>
              </w:tabs>
              <w:jc w:val="both"/>
              <w:rPr>
                <w:b/>
              </w:rPr>
            </w:pPr>
            <w:r>
              <w:rPr>
                <w:b/>
              </w:rPr>
              <w:t>Tax Revenue and Defunding Municipalities</w:t>
            </w:r>
          </w:p>
          <w:p w14:paraId="00964C37" w14:textId="6C5F32D5" w:rsidR="006E121A" w:rsidRDefault="006E121A" w:rsidP="00D06E0C">
            <w:pPr>
              <w:pStyle w:val="Header"/>
              <w:tabs>
                <w:tab w:val="clear" w:pos="4320"/>
                <w:tab w:val="clear" w:pos="8640"/>
              </w:tabs>
              <w:jc w:val="both"/>
            </w:pPr>
          </w:p>
          <w:p w14:paraId="1B2DF79D" w14:textId="28E25B8D" w:rsidR="006E121A" w:rsidRDefault="00B47A71" w:rsidP="00D06E0C">
            <w:pPr>
              <w:pStyle w:val="Header"/>
              <w:tabs>
                <w:tab w:val="clear" w:pos="4320"/>
                <w:tab w:val="clear" w:pos="8640"/>
              </w:tabs>
              <w:jc w:val="both"/>
            </w:pPr>
            <w:r>
              <w:t xml:space="preserve">C.S.H.B. </w:t>
            </w:r>
            <w:r w:rsidR="00B67C8C">
              <w:t>1900</w:t>
            </w:r>
            <w:r>
              <w:t xml:space="preserve"> </w:t>
            </w:r>
            <w:r w:rsidR="007C24CF">
              <w:t xml:space="preserve">amends the Tax Code to </w:t>
            </w:r>
            <w:r>
              <w:t xml:space="preserve">prohibit the </w:t>
            </w:r>
            <w:r w:rsidRPr="006E121A">
              <w:t xml:space="preserve">governing body of </w:t>
            </w:r>
            <w:r w:rsidR="00965F81">
              <w:t xml:space="preserve">a </w:t>
            </w:r>
            <w:r w:rsidR="00AC24C8">
              <w:t xml:space="preserve">defunding </w:t>
            </w:r>
            <w:r>
              <w:t>municipality from</w:t>
            </w:r>
            <w:r w:rsidRPr="006E121A">
              <w:t xml:space="preserve"> adopt</w:t>
            </w:r>
            <w:r>
              <w:t>ing</w:t>
            </w:r>
            <w:r w:rsidRPr="006E121A">
              <w:t xml:space="preserve"> a </w:t>
            </w:r>
            <w:r w:rsidR="00CE23DE">
              <w:t xml:space="preserve">property </w:t>
            </w:r>
            <w:r w:rsidRPr="006E121A">
              <w:t xml:space="preserve">tax rate for the current tax year that exceeds the lesser of </w:t>
            </w:r>
            <w:r>
              <w:t>its</w:t>
            </w:r>
            <w:r w:rsidRPr="006E121A">
              <w:t xml:space="preserve"> no</w:t>
            </w:r>
            <w:r w:rsidR="00150AF8">
              <w:noBreakHyphen/>
            </w:r>
            <w:r w:rsidRPr="006E121A">
              <w:t>n</w:t>
            </w:r>
            <w:r w:rsidRPr="006E121A">
              <w:t>ew</w:t>
            </w:r>
            <w:r w:rsidR="00150AF8">
              <w:noBreakHyphen/>
            </w:r>
            <w:r w:rsidRPr="006E121A">
              <w:t>revenue tax rate or voter-approval tax rate for that tax year</w:t>
            </w:r>
            <w:r>
              <w:t xml:space="preserve">. </w:t>
            </w:r>
            <w:r w:rsidR="00CE23DE">
              <w:t>I</w:t>
            </w:r>
            <w:r w:rsidR="00CE23DE" w:rsidRPr="00F93154">
              <w:t xml:space="preserve">f a municipality is determined to be a defunding municipality according to the budget adopted for the first fiscal year beginning on or after September 1, 2021, the </w:t>
            </w:r>
            <w:r w:rsidR="00CE23DE">
              <w:t xml:space="preserve">municipality's </w:t>
            </w:r>
            <w:r w:rsidR="00CE23DE" w:rsidRPr="00F93154">
              <w:t xml:space="preserve">governing body may not adopt a </w:t>
            </w:r>
            <w:r w:rsidR="00CE23DE">
              <w:t xml:space="preserve">property </w:t>
            </w:r>
            <w:r w:rsidR="00CE23DE" w:rsidRPr="00F93154">
              <w:t xml:space="preserve">tax rate for the current year that exceeds the least of </w:t>
            </w:r>
            <w:r w:rsidR="00CE23DE">
              <w:t>its</w:t>
            </w:r>
            <w:r w:rsidR="00CE23DE" w:rsidRPr="00F93154">
              <w:t xml:space="preserve"> no-new-revenue tax rate or voter-approval tax rate for that tax year, the preceding tax year, or the second preceding tax year.</w:t>
            </w:r>
            <w:r w:rsidR="00B71BAF">
              <w:t xml:space="preserve"> This prohibition expires September 1, 2023. </w:t>
            </w:r>
            <w:r>
              <w:t xml:space="preserve">For purposes of calculating a </w:t>
            </w:r>
            <w:r w:rsidR="00CE23DE">
              <w:t xml:space="preserve">defunding </w:t>
            </w:r>
            <w:r>
              <w:t xml:space="preserve">municipality's unused increment rate in a tax year in which the municipality is a defunding </w:t>
            </w:r>
            <w:r w:rsidR="003F728B">
              <w:t>municipality</w:t>
            </w:r>
            <w:r>
              <w:t xml:space="preserve">, </w:t>
            </w:r>
            <w:r w:rsidRPr="006E121A">
              <w:t xml:space="preserve">the difference between </w:t>
            </w:r>
            <w:r>
              <w:t>its</w:t>
            </w:r>
            <w:r w:rsidRPr="006E121A">
              <w:t xml:space="preserve"> actual tax rate and voter</w:t>
            </w:r>
            <w:r w:rsidR="00846A35">
              <w:noBreakHyphen/>
            </w:r>
            <w:r w:rsidRPr="006E121A">
              <w:t>approval tax rate is considered to be zer</w:t>
            </w:r>
            <w:r w:rsidRPr="006E121A">
              <w:t>o</w:t>
            </w:r>
            <w:r w:rsidR="00652458">
              <w:t xml:space="preserve">. </w:t>
            </w:r>
            <w:r w:rsidR="00060DF2">
              <w:t>These provisions apply beginning with the 2021 tax year.</w:t>
            </w:r>
          </w:p>
          <w:p w14:paraId="42A47C97" w14:textId="38170C34" w:rsidR="00AC24C8" w:rsidRDefault="00AC24C8" w:rsidP="00D06E0C">
            <w:pPr>
              <w:pStyle w:val="Header"/>
              <w:tabs>
                <w:tab w:val="clear" w:pos="4320"/>
                <w:tab w:val="clear" w:pos="8640"/>
              </w:tabs>
              <w:jc w:val="both"/>
            </w:pPr>
          </w:p>
          <w:p w14:paraId="158BA5C8" w14:textId="49B05E5C" w:rsidR="00AC24C8" w:rsidRDefault="00B47A71" w:rsidP="00D06E0C">
            <w:pPr>
              <w:pStyle w:val="Header"/>
              <w:tabs>
                <w:tab w:val="clear" w:pos="4320"/>
                <w:tab w:val="clear" w:pos="8640"/>
              </w:tabs>
              <w:jc w:val="both"/>
            </w:pPr>
            <w:r>
              <w:t>C.S.H.B. 1900 provides for an adjustment in the no-new-revenue maintenance and operations tax rate for a defunding municipality according to a prescribed formula that accounts for a municipal pub</w:t>
            </w:r>
            <w:r>
              <w:t xml:space="preserve">lic safety expenditure adjustment, which is an </w:t>
            </w:r>
            <w:r w:rsidRPr="00AC24C8">
              <w:t>amount equal to the positive difference, if any, between</w:t>
            </w:r>
            <w:r>
              <w:t xml:space="preserve"> the</w:t>
            </w:r>
            <w:r w:rsidR="00AD7989">
              <w:t xml:space="preserve"> amount of money appropriated for public safety in the budget adopted by the municipality for the preceding fiscal year and the amount of money spent by the municipality for public safety during the period for which the budget that resulted in the municipality being classified as a defunding municipality is in effect. The</w:t>
            </w:r>
            <w:r w:rsidR="00AD7989" w:rsidRPr="00AD7989">
              <w:t xml:space="preserve"> </w:t>
            </w:r>
            <w:r w:rsidR="00AD7989">
              <w:t>bill</w:t>
            </w:r>
            <w:r w:rsidR="00AD7989" w:rsidRPr="00AD7989">
              <w:t xml:space="preserve"> provide</w:t>
            </w:r>
            <w:r w:rsidR="00AD7989">
              <w:t>s</w:t>
            </w:r>
            <w:r w:rsidR="00AD7989" w:rsidRPr="00AD7989">
              <w:t xml:space="preserve"> </w:t>
            </w:r>
            <w:r w:rsidR="00AD7989">
              <w:t xml:space="preserve">for the dissemination of </w:t>
            </w:r>
            <w:r w:rsidR="00AD7989" w:rsidRPr="00AD7989">
              <w:t xml:space="preserve">notice of </w:t>
            </w:r>
            <w:r w:rsidR="00AD7989">
              <w:t>the rate decrease.</w:t>
            </w:r>
            <w:r w:rsidR="00FF077A">
              <w:t xml:space="preserve"> Except with respect to the notice requirement, these provisions apply beginning with the 2021 tax year.</w:t>
            </w:r>
          </w:p>
          <w:p w14:paraId="05ECE58D" w14:textId="0ADE65BD" w:rsidR="005F27EC" w:rsidRDefault="005F27EC" w:rsidP="00D06E0C">
            <w:pPr>
              <w:pStyle w:val="Header"/>
              <w:tabs>
                <w:tab w:val="clear" w:pos="4320"/>
                <w:tab w:val="clear" w:pos="8640"/>
              </w:tabs>
              <w:jc w:val="both"/>
            </w:pPr>
          </w:p>
          <w:p w14:paraId="10F1C96C" w14:textId="2BD74BB5" w:rsidR="005F27EC" w:rsidRDefault="00B47A71" w:rsidP="00D06E0C">
            <w:pPr>
              <w:pStyle w:val="Header"/>
              <w:jc w:val="both"/>
            </w:pPr>
            <w:r>
              <w:t xml:space="preserve">C.S.H.B. 1900 prohibits the comptroller of public accounts, before July 1 of each state fiscal year, </w:t>
            </w:r>
            <w:r w:rsidR="005E0DB3">
              <w:t xml:space="preserve">from </w:t>
            </w:r>
            <w:r>
              <w:t>send</w:t>
            </w:r>
            <w:r w:rsidR="005E0DB3">
              <w:t>ing</w:t>
            </w:r>
            <w:r>
              <w:t xml:space="preserve"> to a </w:t>
            </w:r>
            <w:r w:rsidR="00AD7989">
              <w:t xml:space="preserve">defunding </w:t>
            </w:r>
            <w:r>
              <w:t>municipality its share of the</w:t>
            </w:r>
            <w:r w:rsidR="005E0DB3">
              <w:t xml:space="preserve"> municipal sales and use</w:t>
            </w:r>
            <w:r>
              <w:t xml:space="preserve"> taxes collected by the comptroller during the state fiscal year. </w:t>
            </w:r>
            <w:r w:rsidR="00B4099B">
              <w:t xml:space="preserve">The bill requires the division, not later than August 1 of each state fiscal year, to report to the comptroller for each such municipality the amount of money the state spent in that state fiscal year to provide law enforcement services in that municipality. </w:t>
            </w:r>
            <w:r>
              <w:t xml:space="preserve">Before sending the municipality its share of </w:t>
            </w:r>
            <w:r w:rsidR="00EE3683">
              <w:t xml:space="preserve">the </w:t>
            </w:r>
            <w:r>
              <w:t xml:space="preserve">taxes, the comptroller </w:t>
            </w:r>
            <w:r w:rsidR="005E0DB3">
              <w:t>is required to</w:t>
            </w:r>
            <w:r>
              <w:t xml:space="preserve"> deduct the </w:t>
            </w:r>
            <w:r w:rsidR="00B4099B">
              <w:t xml:space="preserve">reported </w:t>
            </w:r>
            <w:r>
              <w:t>amount</w:t>
            </w:r>
            <w:r w:rsidR="00B4099B">
              <w:t xml:space="preserve"> </w:t>
            </w:r>
            <w:r>
              <w:t xml:space="preserve">and credit that deducted amount to the general revenue </w:t>
            </w:r>
            <w:r>
              <w:t>fund</w:t>
            </w:r>
            <w:r w:rsidR="00B4099B">
              <w:t xml:space="preserve"> to </w:t>
            </w:r>
            <w:r>
              <w:t>be appropriated to the Department of Public Safety.</w:t>
            </w:r>
          </w:p>
          <w:p w14:paraId="3DA2DB59" w14:textId="315E135B" w:rsidR="00AD7989" w:rsidRDefault="00AD7989" w:rsidP="00D06E0C">
            <w:pPr>
              <w:pStyle w:val="Header"/>
              <w:jc w:val="both"/>
            </w:pPr>
          </w:p>
          <w:p w14:paraId="011960AE" w14:textId="0FF663B1" w:rsidR="00AD7989" w:rsidRPr="00B2126B" w:rsidRDefault="00B47A71" w:rsidP="00D06E0C">
            <w:pPr>
              <w:pStyle w:val="Header"/>
              <w:jc w:val="both"/>
              <w:rPr>
                <w:b/>
              </w:rPr>
            </w:pPr>
            <w:r>
              <w:rPr>
                <w:b/>
              </w:rPr>
              <w:t>Municipally Owned Utilities in Defunding Municipalities</w:t>
            </w:r>
          </w:p>
          <w:p w14:paraId="77872155" w14:textId="6C29C84D" w:rsidR="00F11F16" w:rsidRDefault="00F11F16" w:rsidP="00D06E0C">
            <w:pPr>
              <w:pStyle w:val="Header"/>
              <w:jc w:val="both"/>
            </w:pPr>
          </w:p>
          <w:p w14:paraId="19F6193A" w14:textId="4B44786E" w:rsidR="00F11F16" w:rsidRDefault="00B47A71" w:rsidP="00D06E0C">
            <w:pPr>
              <w:pStyle w:val="Header"/>
              <w:jc w:val="both"/>
            </w:pPr>
            <w:r>
              <w:t>C.S.H.B. 1900 amends the Utilities Code to</w:t>
            </w:r>
            <w:r w:rsidR="00363824">
              <w:t xml:space="preserve"> prohibit the governing body of a municipally owned utility located in a </w:t>
            </w:r>
            <w:r w:rsidR="00FF077A">
              <w:t xml:space="preserve">defunding </w:t>
            </w:r>
            <w:r w:rsidR="00363824">
              <w:t xml:space="preserve">municipality </w:t>
            </w:r>
            <w:r w:rsidR="00D92B81">
              <w:t>from doing any of the following:</w:t>
            </w:r>
          </w:p>
          <w:p w14:paraId="4AF2E520" w14:textId="1CCCE94F" w:rsidR="00D92B81" w:rsidRDefault="00B47A71" w:rsidP="00D06E0C">
            <w:pPr>
              <w:pStyle w:val="Header"/>
              <w:numPr>
                <w:ilvl w:val="0"/>
                <w:numId w:val="2"/>
              </w:numPr>
              <w:jc w:val="both"/>
            </w:pPr>
            <w:r>
              <w:t xml:space="preserve">charging a customer at a rate higher than the rate the customer was charged or would have been charged on January 1 of the year that the municipality was determined to be a defunding </w:t>
            </w:r>
            <w:r w:rsidR="003F728B">
              <w:t>municipality</w:t>
            </w:r>
            <w:r>
              <w:t>;</w:t>
            </w:r>
          </w:p>
          <w:p w14:paraId="18A0C451" w14:textId="7C1F2AE7" w:rsidR="00D92B81" w:rsidRDefault="00B47A71" w:rsidP="00D06E0C">
            <w:pPr>
              <w:pStyle w:val="Header"/>
              <w:numPr>
                <w:ilvl w:val="0"/>
                <w:numId w:val="2"/>
              </w:numPr>
              <w:jc w:val="both"/>
            </w:pPr>
            <w:r>
              <w:t xml:space="preserve">charging a customer any customer fees in amounts higher than the customer fees the customer was charged or would have been charged on January 1 of the year that the municipality was determined to be a defunding </w:t>
            </w:r>
            <w:r w:rsidR="003F728B">
              <w:t>municipality</w:t>
            </w:r>
            <w:r>
              <w:t>; or</w:t>
            </w:r>
          </w:p>
          <w:p w14:paraId="24C67E63" w14:textId="52BDCA64" w:rsidR="00D92B81" w:rsidRPr="009C36CD" w:rsidRDefault="00B47A71" w:rsidP="00D06E0C">
            <w:pPr>
              <w:pStyle w:val="Header"/>
              <w:numPr>
                <w:ilvl w:val="0"/>
                <w:numId w:val="2"/>
              </w:numPr>
              <w:jc w:val="both"/>
            </w:pPr>
            <w:r>
              <w:t>charging a customer any type</w:t>
            </w:r>
            <w:r>
              <w:t xml:space="preserve">s of customer fees that the customer was not charged or would not have been charged on January 1 of the year that the municipality was determined to be a defunding </w:t>
            </w:r>
            <w:r w:rsidR="003F728B">
              <w:t>municipality</w:t>
            </w:r>
            <w:r>
              <w:t>.</w:t>
            </w:r>
          </w:p>
          <w:p w14:paraId="77732A53" w14:textId="77777777" w:rsidR="008423E4" w:rsidRPr="00835628" w:rsidRDefault="008423E4" w:rsidP="00D06E0C">
            <w:pPr>
              <w:rPr>
                <w:b/>
              </w:rPr>
            </w:pPr>
          </w:p>
        </w:tc>
      </w:tr>
      <w:tr w:rsidR="005B3154" w14:paraId="12B0DBCE" w14:textId="77777777" w:rsidTr="00CB62DF">
        <w:tc>
          <w:tcPr>
            <w:tcW w:w="9360" w:type="dxa"/>
          </w:tcPr>
          <w:p w14:paraId="5F046333" w14:textId="77777777" w:rsidR="008423E4" w:rsidRPr="00A8133F" w:rsidRDefault="00B47A71" w:rsidP="00D06E0C">
            <w:pPr>
              <w:rPr>
                <w:b/>
              </w:rPr>
            </w:pPr>
            <w:r w:rsidRPr="009C1E9A">
              <w:rPr>
                <w:b/>
                <w:u w:val="single"/>
              </w:rPr>
              <w:t>EFFECTIVE DATE</w:t>
            </w:r>
            <w:r>
              <w:rPr>
                <w:b/>
              </w:rPr>
              <w:t xml:space="preserve"> </w:t>
            </w:r>
          </w:p>
          <w:p w14:paraId="465E94E9" w14:textId="77777777" w:rsidR="008423E4" w:rsidRDefault="008423E4" w:rsidP="00D06E0C"/>
          <w:p w14:paraId="35839260" w14:textId="39FCA3DF" w:rsidR="008423E4" w:rsidRPr="003624F2" w:rsidRDefault="00B47A71" w:rsidP="00D06E0C">
            <w:pPr>
              <w:pStyle w:val="Header"/>
              <w:tabs>
                <w:tab w:val="clear" w:pos="4320"/>
                <w:tab w:val="clear" w:pos="8640"/>
              </w:tabs>
              <w:jc w:val="both"/>
            </w:pPr>
            <w:r>
              <w:t>September 1, 2021.</w:t>
            </w:r>
          </w:p>
          <w:p w14:paraId="13933DA7" w14:textId="77777777" w:rsidR="008423E4" w:rsidRPr="00233FDB" w:rsidRDefault="008423E4" w:rsidP="00D06E0C">
            <w:pPr>
              <w:rPr>
                <w:b/>
              </w:rPr>
            </w:pPr>
          </w:p>
        </w:tc>
      </w:tr>
      <w:tr w:rsidR="005B3154" w14:paraId="21D72B81" w14:textId="77777777" w:rsidTr="00CB62DF">
        <w:tc>
          <w:tcPr>
            <w:tcW w:w="9360" w:type="dxa"/>
          </w:tcPr>
          <w:p w14:paraId="17B577FA" w14:textId="77777777" w:rsidR="00505325" w:rsidRDefault="00B47A71" w:rsidP="00505325">
            <w:pPr>
              <w:jc w:val="both"/>
              <w:rPr>
                <w:b/>
                <w:u w:val="single"/>
              </w:rPr>
            </w:pPr>
            <w:r>
              <w:rPr>
                <w:b/>
                <w:u w:val="single"/>
              </w:rPr>
              <w:t>COMPARISON OF ORIGINAL AND SUBSTITUTE</w:t>
            </w:r>
          </w:p>
          <w:p w14:paraId="51841D54" w14:textId="77777777" w:rsidR="00F93154" w:rsidRDefault="00F93154" w:rsidP="00505325">
            <w:pPr>
              <w:jc w:val="both"/>
              <w:rPr>
                <w:b/>
                <w:u w:val="single"/>
              </w:rPr>
            </w:pPr>
          </w:p>
          <w:p w14:paraId="65BF1EC9" w14:textId="77777777" w:rsidR="00CB62DF" w:rsidRDefault="00B47A71" w:rsidP="00CB62DF">
            <w:pPr>
              <w:jc w:val="both"/>
            </w:pPr>
            <w:r>
              <w:t>While C.S.H.B. 1900 may differ from the original in minor or nonsubstantive ways, the following summarizes the substantial differences between the introduced and committee substitute versions of the bill.</w:t>
            </w:r>
          </w:p>
          <w:p w14:paraId="700CFAE1" w14:textId="77777777" w:rsidR="00CB62DF" w:rsidRDefault="00CB62DF" w:rsidP="00CB62DF">
            <w:pPr>
              <w:jc w:val="both"/>
            </w:pPr>
          </w:p>
          <w:p w14:paraId="3D017F3A" w14:textId="77777777" w:rsidR="00CB62DF" w:rsidRDefault="00B47A71" w:rsidP="00CB62DF">
            <w:pPr>
              <w:jc w:val="both"/>
            </w:pPr>
            <w:r>
              <w:t>The substitute narrows the scope of the bill's pr</w:t>
            </w:r>
            <w:r>
              <w:t>ovisions to apply to municipalities with a population of more than 250,000, rather than all counties and municipalities as in the original.</w:t>
            </w:r>
          </w:p>
          <w:p w14:paraId="7D7AA6B6" w14:textId="77777777" w:rsidR="00CB62DF" w:rsidRDefault="00CB62DF" w:rsidP="00CB62DF">
            <w:pPr>
              <w:jc w:val="both"/>
            </w:pPr>
          </w:p>
          <w:p w14:paraId="655AA1BB" w14:textId="77777777" w:rsidR="00CB62DF" w:rsidRDefault="00B47A71" w:rsidP="00CB62DF">
            <w:pPr>
              <w:jc w:val="both"/>
            </w:pPr>
            <w:r>
              <w:t>The substitute does not include year-over-year reductions in the following as grounds for being classified as a def</w:t>
            </w:r>
            <w:r>
              <w:t>unding municipality:</w:t>
            </w:r>
          </w:p>
          <w:p w14:paraId="60FB6876" w14:textId="77777777" w:rsidR="00CB62DF" w:rsidRDefault="00B47A71" w:rsidP="00CB62DF">
            <w:pPr>
              <w:pStyle w:val="ListParagraph"/>
              <w:numPr>
                <w:ilvl w:val="0"/>
                <w:numId w:val="5"/>
              </w:numPr>
              <w:contextualSpacing w:val="0"/>
              <w:jc w:val="both"/>
            </w:pPr>
            <w:r>
              <w:t>the number of peace officers authorized to be employed;</w:t>
            </w:r>
          </w:p>
          <w:p w14:paraId="27E3556E" w14:textId="77777777" w:rsidR="00CB62DF" w:rsidRDefault="00B47A71" w:rsidP="00CB62DF">
            <w:pPr>
              <w:pStyle w:val="ListParagraph"/>
              <w:numPr>
                <w:ilvl w:val="0"/>
                <w:numId w:val="5"/>
              </w:numPr>
              <w:contextualSpacing w:val="0"/>
              <w:jc w:val="both"/>
            </w:pPr>
            <w:r>
              <w:t>funding for peace officer overtime compensation; and</w:t>
            </w:r>
          </w:p>
          <w:p w14:paraId="57511947" w14:textId="77777777" w:rsidR="00CB62DF" w:rsidRDefault="00B47A71" w:rsidP="00CB62DF">
            <w:pPr>
              <w:pStyle w:val="ListParagraph"/>
              <w:numPr>
                <w:ilvl w:val="0"/>
                <w:numId w:val="5"/>
              </w:numPr>
              <w:contextualSpacing w:val="0"/>
              <w:jc w:val="both"/>
            </w:pPr>
            <w:r>
              <w:t>funding for the recruitment and training of new peace officers to fill each vacant peace officer position.</w:t>
            </w:r>
          </w:p>
          <w:p w14:paraId="5D439B19" w14:textId="77777777" w:rsidR="00CB62DF" w:rsidRDefault="00CB62DF" w:rsidP="00CB62DF">
            <w:pPr>
              <w:jc w:val="both"/>
            </w:pPr>
          </w:p>
          <w:p w14:paraId="05A1F3EA" w14:textId="5EA00E45" w:rsidR="00CB62DF" w:rsidRDefault="00B47A71" w:rsidP="00CB62DF">
            <w:pPr>
              <w:jc w:val="both"/>
            </w:pPr>
            <w:r>
              <w:t>The substitute includes specific exceptions to a municipality being considered as a defunding municipality despite reducing appropriations to the municipality's police department if the percentage reduction does not exceed the percentage reduction to the t</w:t>
            </w:r>
            <w:r>
              <w:t xml:space="preserve">otal budget or the municipality is granted approval for the reduction from the </w:t>
            </w:r>
            <w:r w:rsidRPr="00AD35D4">
              <w:t>di</w:t>
            </w:r>
            <w:r>
              <w:t>vision. The bill includes the requirement for the division to adopt related rules.</w:t>
            </w:r>
          </w:p>
          <w:p w14:paraId="3D5061F4" w14:textId="31EB6940" w:rsidR="004363EE" w:rsidRDefault="004363EE" w:rsidP="00CB62DF">
            <w:pPr>
              <w:jc w:val="both"/>
            </w:pPr>
          </w:p>
          <w:p w14:paraId="2F319172" w14:textId="0382C68E" w:rsidR="004363EE" w:rsidRDefault="00B47A71" w:rsidP="00CB62DF">
            <w:pPr>
              <w:jc w:val="both"/>
            </w:pPr>
            <w:r>
              <w:t>The substitute does not include provisions from the original regarding the effect of disann</w:t>
            </w:r>
            <w:r>
              <w:t xml:space="preserve">exation </w:t>
            </w:r>
            <w:r w:rsidR="00091E5A">
              <w:t xml:space="preserve">of an area </w:t>
            </w:r>
            <w:r>
              <w:t>from a defunding municipality</w:t>
            </w:r>
            <w:r w:rsidR="00AE0719">
              <w:t xml:space="preserve"> with respect to the area's release from the defunding municipality's extraterritorial jurisdiction, the right of a resident of the area to petition for the area to be included in the extraterritorial jurisdiction of an eligible municipality, and the inclusion of a disannexed area in a municipality's extraterritorial jurisdiction under certain conditions</w:t>
            </w:r>
            <w:r>
              <w:t>.</w:t>
            </w:r>
          </w:p>
          <w:p w14:paraId="311705B7" w14:textId="77777777" w:rsidR="00CB62DF" w:rsidRDefault="00CB62DF" w:rsidP="00CB62DF">
            <w:pPr>
              <w:jc w:val="both"/>
            </w:pPr>
          </w:p>
          <w:p w14:paraId="5B430FAD" w14:textId="77777777" w:rsidR="00CB62DF" w:rsidRDefault="00B47A71" w:rsidP="00CB62DF">
            <w:pPr>
              <w:jc w:val="both"/>
            </w:pPr>
            <w:r>
              <w:t>The substitute includes provisions providing for the adjustment of a defunding municipality's no-new-reve</w:t>
            </w:r>
            <w:r>
              <w:t>nue maintenance and operations property tax rate to account for a reduction in appropriations to the municipality's police department and for the dissemination of notice regarding that rate decrease. The substitute revises a procedural provision to specify</w:t>
            </w:r>
            <w:r>
              <w:t xml:space="preserve"> that, while the rate decrease applies beginning with the 2021 tax year, the notice requirement does not apply for that tax year.</w:t>
            </w:r>
          </w:p>
          <w:p w14:paraId="36BD43A7" w14:textId="77777777" w:rsidR="00CB62DF" w:rsidRDefault="00CB62DF" w:rsidP="00CB62DF">
            <w:pPr>
              <w:jc w:val="both"/>
            </w:pPr>
          </w:p>
          <w:p w14:paraId="2D2C9183" w14:textId="15D93569" w:rsidR="00CB62DF" w:rsidRPr="00505325" w:rsidRDefault="00B47A71" w:rsidP="00CB62DF">
            <w:pPr>
              <w:jc w:val="both"/>
              <w:rPr>
                <w:b/>
                <w:u w:val="single"/>
              </w:rPr>
            </w:pPr>
            <w:r>
              <w:t xml:space="preserve">The substitute includes provisions limiting the tax rate that may be adopted by a municipality that is determined to be </w:t>
            </w:r>
            <w:r w:rsidRPr="00F93154">
              <w:t>a def</w:t>
            </w:r>
            <w:r w:rsidRPr="00F93154">
              <w:t>unding municipality according to the budget adopted for the first fiscal year beginning on or after September 1, 2021</w:t>
            </w:r>
            <w:r>
              <w:t>.</w:t>
            </w:r>
          </w:p>
        </w:tc>
      </w:tr>
    </w:tbl>
    <w:p w14:paraId="150FACA4" w14:textId="79EA3DF5" w:rsidR="004108C3" w:rsidRPr="008423E4" w:rsidRDefault="004108C3" w:rsidP="00D06E0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C9DA" w14:textId="77777777" w:rsidR="00000000" w:rsidRDefault="00B47A71">
      <w:r>
        <w:separator/>
      </w:r>
    </w:p>
  </w:endnote>
  <w:endnote w:type="continuationSeparator" w:id="0">
    <w:p w14:paraId="72551386" w14:textId="77777777" w:rsidR="00000000" w:rsidRDefault="00B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681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3154" w14:paraId="7B9F512F" w14:textId="77777777" w:rsidTr="009C1E9A">
      <w:trPr>
        <w:cantSplit/>
      </w:trPr>
      <w:tc>
        <w:tcPr>
          <w:tcW w:w="0" w:type="pct"/>
        </w:tcPr>
        <w:p w14:paraId="5ED58BDC" w14:textId="77777777" w:rsidR="00137D90" w:rsidRDefault="00137D90" w:rsidP="009C1E9A">
          <w:pPr>
            <w:pStyle w:val="Footer"/>
            <w:tabs>
              <w:tab w:val="clear" w:pos="8640"/>
              <w:tab w:val="right" w:pos="9360"/>
            </w:tabs>
          </w:pPr>
        </w:p>
      </w:tc>
      <w:tc>
        <w:tcPr>
          <w:tcW w:w="2395" w:type="pct"/>
        </w:tcPr>
        <w:p w14:paraId="41634D2A" w14:textId="77777777" w:rsidR="00137D90" w:rsidRDefault="00137D90" w:rsidP="009C1E9A">
          <w:pPr>
            <w:pStyle w:val="Footer"/>
            <w:tabs>
              <w:tab w:val="clear" w:pos="8640"/>
              <w:tab w:val="right" w:pos="9360"/>
            </w:tabs>
          </w:pPr>
        </w:p>
        <w:p w14:paraId="199420B9" w14:textId="77777777" w:rsidR="001A4310" w:rsidRDefault="001A4310" w:rsidP="009C1E9A">
          <w:pPr>
            <w:pStyle w:val="Footer"/>
            <w:tabs>
              <w:tab w:val="clear" w:pos="8640"/>
              <w:tab w:val="right" w:pos="9360"/>
            </w:tabs>
          </w:pPr>
        </w:p>
        <w:p w14:paraId="62B8123A" w14:textId="77777777" w:rsidR="00137D90" w:rsidRDefault="00137D90" w:rsidP="009C1E9A">
          <w:pPr>
            <w:pStyle w:val="Footer"/>
            <w:tabs>
              <w:tab w:val="clear" w:pos="8640"/>
              <w:tab w:val="right" w:pos="9360"/>
            </w:tabs>
          </w:pPr>
        </w:p>
      </w:tc>
      <w:tc>
        <w:tcPr>
          <w:tcW w:w="2453" w:type="pct"/>
        </w:tcPr>
        <w:p w14:paraId="4AA01DAD" w14:textId="77777777" w:rsidR="00137D90" w:rsidRDefault="00137D90" w:rsidP="009C1E9A">
          <w:pPr>
            <w:pStyle w:val="Footer"/>
            <w:tabs>
              <w:tab w:val="clear" w:pos="8640"/>
              <w:tab w:val="right" w:pos="9360"/>
            </w:tabs>
            <w:jc w:val="right"/>
          </w:pPr>
        </w:p>
      </w:tc>
    </w:tr>
    <w:tr w:rsidR="005B3154" w14:paraId="5591D48C" w14:textId="77777777" w:rsidTr="009C1E9A">
      <w:trPr>
        <w:cantSplit/>
      </w:trPr>
      <w:tc>
        <w:tcPr>
          <w:tcW w:w="0" w:type="pct"/>
        </w:tcPr>
        <w:p w14:paraId="29FA6206" w14:textId="77777777" w:rsidR="00EC379B" w:rsidRDefault="00EC379B" w:rsidP="009C1E9A">
          <w:pPr>
            <w:pStyle w:val="Footer"/>
            <w:tabs>
              <w:tab w:val="clear" w:pos="8640"/>
              <w:tab w:val="right" w:pos="9360"/>
            </w:tabs>
          </w:pPr>
        </w:p>
      </w:tc>
      <w:tc>
        <w:tcPr>
          <w:tcW w:w="2395" w:type="pct"/>
        </w:tcPr>
        <w:p w14:paraId="058F5407" w14:textId="6A57E6F3" w:rsidR="00EC379B" w:rsidRPr="009C1E9A" w:rsidRDefault="00B47A71" w:rsidP="009C1E9A">
          <w:pPr>
            <w:pStyle w:val="Footer"/>
            <w:tabs>
              <w:tab w:val="clear" w:pos="8640"/>
              <w:tab w:val="right" w:pos="9360"/>
            </w:tabs>
            <w:rPr>
              <w:rFonts w:ascii="Shruti" w:hAnsi="Shruti"/>
              <w:sz w:val="22"/>
            </w:rPr>
          </w:pPr>
          <w:r>
            <w:rPr>
              <w:rFonts w:ascii="Shruti" w:hAnsi="Shruti"/>
              <w:sz w:val="22"/>
            </w:rPr>
            <w:t>87R 23848</w:t>
          </w:r>
        </w:p>
      </w:tc>
      <w:tc>
        <w:tcPr>
          <w:tcW w:w="2453" w:type="pct"/>
        </w:tcPr>
        <w:p w14:paraId="66974DD5" w14:textId="6E82E0D5" w:rsidR="00EC379B" w:rsidRDefault="00B47A71" w:rsidP="009C1E9A">
          <w:pPr>
            <w:pStyle w:val="Footer"/>
            <w:tabs>
              <w:tab w:val="clear" w:pos="8640"/>
              <w:tab w:val="right" w:pos="9360"/>
            </w:tabs>
            <w:jc w:val="right"/>
          </w:pPr>
          <w:r>
            <w:fldChar w:fldCharType="begin"/>
          </w:r>
          <w:r>
            <w:instrText xml:space="preserve"> DOCPROPERTY  OTID  \* MERGEFORMAT </w:instrText>
          </w:r>
          <w:r>
            <w:fldChar w:fldCharType="separate"/>
          </w:r>
          <w:r w:rsidR="004A57E1">
            <w:t>21.120.1854</w:t>
          </w:r>
          <w:r>
            <w:fldChar w:fldCharType="end"/>
          </w:r>
        </w:p>
      </w:tc>
    </w:tr>
    <w:tr w:rsidR="005B3154" w14:paraId="66141C78" w14:textId="77777777" w:rsidTr="009C1E9A">
      <w:trPr>
        <w:cantSplit/>
      </w:trPr>
      <w:tc>
        <w:tcPr>
          <w:tcW w:w="0" w:type="pct"/>
        </w:tcPr>
        <w:p w14:paraId="5693D57A" w14:textId="77777777" w:rsidR="00EC379B" w:rsidRDefault="00EC379B" w:rsidP="009C1E9A">
          <w:pPr>
            <w:pStyle w:val="Footer"/>
            <w:tabs>
              <w:tab w:val="clear" w:pos="4320"/>
              <w:tab w:val="clear" w:pos="8640"/>
              <w:tab w:val="left" w:pos="2865"/>
            </w:tabs>
          </w:pPr>
        </w:p>
      </w:tc>
      <w:tc>
        <w:tcPr>
          <w:tcW w:w="2395" w:type="pct"/>
        </w:tcPr>
        <w:p w14:paraId="00718244" w14:textId="37178CF4" w:rsidR="00EC379B" w:rsidRPr="009C1E9A" w:rsidRDefault="00B47A71" w:rsidP="009C1E9A">
          <w:pPr>
            <w:pStyle w:val="Footer"/>
            <w:tabs>
              <w:tab w:val="clear" w:pos="4320"/>
              <w:tab w:val="clear" w:pos="8640"/>
              <w:tab w:val="left" w:pos="2865"/>
            </w:tabs>
            <w:rPr>
              <w:rFonts w:ascii="Shruti" w:hAnsi="Shruti"/>
              <w:sz w:val="22"/>
            </w:rPr>
          </w:pPr>
          <w:r>
            <w:rPr>
              <w:rFonts w:ascii="Shruti" w:hAnsi="Shruti"/>
              <w:sz w:val="22"/>
            </w:rPr>
            <w:t>Substitute Document Number: 87R 23816</w:t>
          </w:r>
        </w:p>
      </w:tc>
      <w:tc>
        <w:tcPr>
          <w:tcW w:w="2453" w:type="pct"/>
        </w:tcPr>
        <w:p w14:paraId="1D9F0F1F" w14:textId="77777777" w:rsidR="00EC379B" w:rsidRDefault="00EC379B" w:rsidP="006D504F">
          <w:pPr>
            <w:pStyle w:val="Footer"/>
            <w:rPr>
              <w:rStyle w:val="PageNumber"/>
            </w:rPr>
          </w:pPr>
        </w:p>
        <w:p w14:paraId="7A13D660" w14:textId="77777777" w:rsidR="00EC379B" w:rsidRDefault="00EC379B" w:rsidP="009C1E9A">
          <w:pPr>
            <w:pStyle w:val="Footer"/>
            <w:tabs>
              <w:tab w:val="clear" w:pos="8640"/>
              <w:tab w:val="right" w:pos="9360"/>
            </w:tabs>
            <w:jc w:val="right"/>
          </w:pPr>
        </w:p>
      </w:tc>
    </w:tr>
    <w:tr w:rsidR="005B3154" w14:paraId="6E337177" w14:textId="77777777" w:rsidTr="009C1E9A">
      <w:trPr>
        <w:cantSplit/>
        <w:trHeight w:val="323"/>
      </w:trPr>
      <w:tc>
        <w:tcPr>
          <w:tcW w:w="0" w:type="pct"/>
          <w:gridSpan w:val="3"/>
        </w:tcPr>
        <w:p w14:paraId="2C9505EE" w14:textId="2B7D00C8" w:rsidR="00EC379B" w:rsidRDefault="00B47A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57E1">
            <w:rPr>
              <w:rStyle w:val="PageNumber"/>
              <w:noProof/>
            </w:rPr>
            <w:t>2</w:t>
          </w:r>
          <w:r>
            <w:rPr>
              <w:rStyle w:val="PageNumber"/>
            </w:rPr>
            <w:fldChar w:fldCharType="end"/>
          </w:r>
        </w:p>
        <w:p w14:paraId="6C11493C" w14:textId="77777777" w:rsidR="00EC379B" w:rsidRDefault="00EC379B" w:rsidP="009C1E9A">
          <w:pPr>
            <w:pStyle w:val="Footer"/>
            <w:tabs>
              <w:tab w:val="clear" w:pos="8640"/>
              <w:tab w:val="right" w:pos="9360"/>
            </w:tabs>
            <w:jc w:val="center"/>
          </w:pPr>
        </w:p>
      </w:tc>
    </w:tr>
  </w:tbl>
  <w:p w14:paraId="4694C7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B7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C772" w14:textId="77777777" w:rsidR="00000000" w:rsidRDefault="00B47A71">
      <w:r>
        <w:separator/>
      </w:r>
    </w:p>
  </w:footnote>
  <w:footnote w:type="continuationSeparator" w:id="0">
    <w:p w14:paraId="192F2187" w14:textId="77777777" w:rsidR="00000000" w:rsidRDefault="00B4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9D6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8F6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C4E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7FD"/>
    <w:multiLevelType w:val="hybridMultilevel"/>
    <w:tmpl w:val="B818FF28"/>
    <w:lvl w:ilvl="0" w:tplc="3F3C36E6">
      <w:start w:val="1"/>
      <w:numFmt w:val="bullet"/>
      <w:lvlText w:val=""/>
      <w:lvlJc w:val="left"/>
      <w:pPr>
        <w:tabs>
          <w:tab w:val="num" w:pos="720"/>
        </w:tabs>
        <w:ind w:left="720" w:hanging="360"/>
      </w:pPr>
      <w:rPr>
        <w:rFonts w:ascii="Symbol" w:hAnsi="Symbol" w:hint="default"/>
      </w:rPr>
    </w:lvl>
    <w:lvl w:ilvl="1" w:tplc="629EA744" w:tentative="1">
      <w:start w:val="1"/>
      <w:numFmt w:val="bullet"/>
      <w:lvlText w:val="o"/>
      <w:lvlJc w:val="left"/>
      <w:pPr>
        <w:ind w:left="1440" w:hanging="360"/>
      </w:pPr>
      <w:rPr>
        <w:rFonts w:ascii="Courier New" w:hAnsi="Courier New" w:cs="Courier New" w:hint="default"/>
      </w:rPr>
    </w:lvl>
    <w:lvl w:ilvl="2" w:tplc="6FA0DFC4" w:tentative="1">
      <w:start w:val="1"/>
      <w:numFmt w:val="bullet"/>
      <w:lvlText w:val=""/>
      <w:lvlJc w:val="left"/>
      <w:pPr>
        <w:ind w:left="2160" w:hanging="360"/>
      </w:pPr>
      <w:rPr>
        <w:rFonts w:ascii="Wingdings" w:hAnsi="Wingdings" w:hint="default"/>
      </w:rPr>
    </w:lvl>
    <w:lvl w:ilvl="3" w:tplc="E91C5A6A" w:tentative="1">
      <w:start w:val="1"/>
      <w:numFmt w:val="bullet"/>
      <w:lvlText w:val=""/>
      <w:lvlJc w:val="left"/>
      <w:pPr>
        <w:ind w:left="2880" w:hanging="360"/>
      </w:pPr>
      <w:rPr>
        <w:rFonts w:ascii="Symbol" w:hAnsi="Symbol" w:hint="default"/>
      </w:rPr>
    </w:lvl>
    <w:lvl w:ilvl="4" w:tplc="FD1A6466" w:tentative="1">
      <w:start w:val="1"/>
      <w:numFmt w:val="bullet"/>
      <w:lvlText w:val="o"/>
      <w:lvlJc w:val="left"/>
      <w:pPr>
        <w:ind w:left="3600" w:hanging="360"/>
      </w:pPr>
      <w:rPr>
        <w:rFonts w:ascii="Courier New" w:hAnsi="Courier New" w:cs="Courier New" w:hint="default"/>
      </w:rPr>
    </w:lvl>
    <w:lvl w:ilvl="5" w:tplc="277404D6" w:tentative="1">
      <w:start w:val="1"/>
      <w:numFmt w:val="bullet"/>
      <w:lvlText w:val=""/>
      <w:lvlJc w:val="left"/>
      <w:pPr>
        <w:ind w:left="4320" w:hanging="360"/>
      </w:pPr>
      <w:rPr>
        <w:rFonts w:ascii="Wingdings" w:hAnsi="Wingdings" w:hint="default"/>
      </w:rPr>
    </w:lvl>
    <w:lvl w:ilvl="6" w:tplc="C72EB486" w:tentative="1">
      <w:start w:val="1"/>
      <w:numFmt w:val="bullet"/>
      <w:lvlText w:val=""/>
      <w:lvlJc w:val="left"/>
      <w:pPr>
        <w:ind w:left="5040" w:hanging="360"/>
      </w:pPr>
      <w:rPr>
        <w:rFonts w:ascii="Symbol" w:hAnsi="Symbol" w:hint="default"/>
      </w:rPr>
    </w:lvl>
    <w:lvl w:ilvl="7" w:tplc="2F202ACC" w:tentative="1">
      <w:start w:val="1"/>
      <w:numFmt w:val="bullet"/>
      <w:lvlText w:val="o"/>
      <w:lvlJc w:val="left"/>
      <w:pPr>
        <w:ind w:left="5760" w:hanging="360"/>
      </w:pPr>
      <w:rPr>
        <w:rFonts w:ascii="Courier New" w:hAnsi="Courier New" w:cs="Courier New" w:hint="default"/>
      </w:rPr>
    </w:lvl>
    <w:lvl w:ilvl="8" w:tplc="5DDAD410" w:tentative="1">
      <w:start w:val="1"/>
      <w:numFmt w:val="bullet"/>
      <w:lvlText w:val=""/>
      <w:lvlJc w:val="left"/>
      <w:pPr>
        <w:ind w:left="6480" w:hanging="360"/>
      </w:pPr>
      <w:rPr>
        <w:rFonts w:ascii="Wingdings" w:hAnsi="Wingdings" w:hint="default"/>
      </w:rPr>
    </w:lvl>
  </w:abstractNum>
  <w:abstractNum w:abstractNumId="1" w15:restartNumberingAfterBreak="0">
    <w:nsid w:val="2722761D"/>
    <w:multiLevelType w:val="hybridMultilevel"/>
    <w:tmpl w:val="06205D64"/>
    <w:lvl w:ilvl="0" w:tplc="458C7FE2">
      <w:start w:val="1"/>
      <w:numFmt w:val="bullet"/>
      <w:lvlText w:val=""/>
      <w:lvlJc w:val="left"/>
      <w:pPr>
        <w:tabs>
          <w:tab w:val="num" w:pos="720"/>
        </w:tabs>
        <w:ind w:left="720" w:hanging="360"/>
      </w:pPr>
      <w:rPr>
        <w:rFonts w:ascii="Symbol" w:hAnsi="Symbol" w:hint="default"/>
      </w:rPr>
    </w:lvl>
    <w:lvl w:ilvl="1" w:tplc="5D90BA9C" w:tentative="1">
      <w:start w:val="1"/>
      <w:numFmt w:val="bullet"/>
      <w:lvlText w:val="o"/>
      <w:lvlJc w:val="left"/>
      <w:pPr>
        <w:ind w:left="1440" w:hanging="360"/>
      </w:pPr>
      <w:rPr>
        <w:rFonts w:ascii="Courier New" w:hAnsi="Courier New" w:cs="Courier New" w:hint="default"/>
      </w:rPr>
    </w:lvl>
    <w:lvl w:ilvl="2" w:tplc="ACA6E514" w:tentative="1">
      <w:start w:val="1"/>
      <w:numFmt w:val="bullet"/>
      <w:lvlText w:val=""/>
      <w:lvlJc w:val="left"/>
      <w:pPr>
        <w:ind w:left="2160" w:hanging="360"/>
      </w:pPr>
      <w:rPr>
        <w:rFonts w:ascii="Wingdings" w:hAnsi="Wingdings" w:hint="default"/>
      </w:rPr>
    </w:lvl>
    <w:lvl w:ilvl="3" w:tplc="CC2C50E6" w:tentative="1">
      <w:start w:val="1"/>
      <w:numFmt w:val="bullet"/>
      <w:lvlText w:val=""/>
      <w:lvlJc w:val="left"/>
      <w:pPr>
        <w:ind w:left="2880" w:hanging="360"/>
      </w:pPr>
      <w:rPr>
        <w:rFonts w:ascii="Symbol" w:hAnsi="Symbol" w:hint="default"/>
      </w:rPr>
    </w:lvl>
    <w:lvl w:ilvl="4" w:tplc="08E23B46" w:tentative="1">
      <w:start w:val="1"/>
      <w:numFmt w:val="bullet"/>
      <w:lvlText w:val="o"/>
      <w:lvlJc w:val="left"/>
      <w:pPr>
        <w:ind w:left="3600" w:hanging="360"/>
      </w:pPr>
      <w:rPr>
        <w:rFonts w:ascii="Courier New" w:hAnsi="Courier New" w:cs="Courier New" w:hint="default"/>
      </w:rPr>
    </w:lvl>
    <w:lvl w:ilvl="5" w:tplc="7F5C875A" w:tentative="1">
      <w:start w:val="1"/>
      <w:numFmt w:val="bullet"/>
      <w:lvlText w:val=""/>
      <w:lvlJc w:val="left"/>
      <w:pPr>
        <w:ind w:left="4320" w:hanging="360"/>
      </w:pPr>
      <w:rPr>
        <w:rFonts w:ascii="Wingdings" w:hAnsi="Wingdings" w:hint="default"/>
      </w:rPr>
    </w:lvl>
    <w:lvl w:ilvl="6" w:tplc="2C844124" w:tentative="1">
      <w:start w:val="1"/>
      <w:numFmt w:val="bullet"/>
      <w:lvlText w:val=""/>
      <w:lvlJc w:val="left"/>
      <w:pPr>
        <w:ind w:left="5040" w:hanging="360"/>
      </w:pPr>
      <w:rPr>
        <w:rFonts w:ascii="Symbol" w:hAnsi="Symbol" w:hint="default"/>
      </w:rPr>
    </w:lvl>
    <w:lvl w:ilvl="7" w:tplc="51BCF26C" w:tentative="1">
      <w:start w:val="1"/>
      <w:numFmt w:val="bullet"/>
      <w:lvlText w:val="o"/>
      <w:lvlJc w:val="left"/>
      <w:pPr>
        <w:ind w:left="5760" w:hanging="360"/>
      </w:pPr>
      <w:rPr>
        <w:rFonts w:ascii="Courier New" w:hAnsi="Courier New" w:cs="Courier New" w:hint="default"/>
      </w:rPr>
    </w:lvl>
    <w:lvl w:ilvl="8" w:tplc="99B08F04" w:tentative="1">
      <w:start w:val="1"/>
      <w:numFmt w:val="bullet"/>
      <w:lvlText w:val=""/>
      <w:lvlJc w:val="left"/>
      <w:pPr>
        <w:ind w:left="6480" w:hanging="360"/>
      </w:pPr>
      <w:rPr>
        <w:rFonts w:ascii="Wingdings" w:hAnsi="Wingdings" w:hint="default"/>
      </w:rPr>
    </w:lvl>
  </w:abstractNum>
  <w:abstractNum w:abstractNumId="2" w15:restartNumberingAfterBreak="0">
    <w:nsid w:val="58F320DA"/>
    <w:multiLevelType w:val="hybridMultilevel"/>
    <w:tmpl w:val="28743A88"/>
    <w:lvl w:ilvl="0" w:tplc="D48471AA">
      <w:start w:val="1"/>
      <w:numFmt w:val="bullet"/>
      <w:lvlText w:val=""/>
      <w:lvlJc w:val="left"/>
      <w:pPr>
        <w:tabs>
          <w:tab w:val="num" w:pos="720"/>
        </w:tabs>
        <w:ind w:left="720" w:hanging="360"/>
      </w:pPr>
      <w:rPr>
        <w:rFonts w:ascii="Symbol" w:hAnsi="Symbol" w:hint="default"/>
      </w:rPr>
    </w:lvl>
    <w:lvl w:ilvl="1" w:tplc="11D0B59C" w:tentative="1">
      <w:start w:val="1"/>
      <w:numFmt w:val="bullet"/>
      <w:lvlText w:val="o"/>
      <w:lvlJc w:val="left"/>
      <w:pPr>
        <w:ind w:left="1440" w:hanging="360"/>
      </w:pPr>
      <w:rPr>
        <w:rFonts w:ascii="Courier New" w:hAnsi="Courier New" w:cs="Courier New" w:hint="default"/>
      </w:rPr>
    </w:lvl>
    <w:lvl w:ilvl="2" w:tplc="925A2316" w:tentative="1">
      <w:start w:val="1"/>
      <w:numFmt w:val="bullet"/>
      <w:lvlText w:val=""/>
      <w:lvlJc w:val="left"/>
      <w:pPr>
        <w:ind w:left="2160" w:hanging="360"/>
      </w:pPr>
      <w:rPr>
        <w:rFonts w:ascii="Wingdings" w:hAnsi="Wingdings" w:hint="default"/>
      </w:rPr>
    </w:lvl>
    <w:lvl w:ilvl="3" w:tplc="898EA05C" w:tentative="1">
      <w:start w:val="1"/>
      <w:numFmt w:val="bullet"/>
      <w:lvlText w:val=""/>
      <w:lvlJc w:val="left"/>
      <w:pPr>
        <w:ind w:left="2880" w:hanging="360"/>
      </w:pPr>
      <w:rPr>
        <w:rFonts w:ascii="Symbol" w:hAnsi="Symbol" w:hint="default"/>
      </w:rPr>
    </w:lvl>
    <w:lvl w:ilvl="4" w:tplc="910CFC30" w:tentative="1">
      <w:start w:val="1"/>
      <w:numFmt w:val="bullet"/>
      <w:lvlText w:val="o"/>
      <w:lvlJc w:val="left"/>
      <w:pPr>
        <w:ind w:left="3600" w:hanging="360"/>
      </w:pPr>
      <w:rPr>
        <w:rFonts w:ascii="Courier New" w:hAnsi="Courier New" w:cs="Courier New" w:hint="default"/>
      </w:rPr>
    </w:lvl>
    <w:lvl w:ilvl="5" w:tplc="4F82AAD2" w:tentative="1">
      <w:start w:val="1"/>
      <w:numFmt w:val="bullet"/>
      <w:lvlText w:val=""/>
      <w:lvlJc w:val="left"/>
      <w:pPr>
        <w:ind w:left="4320" w:hanging="360"/>
      </w:pPr>
      <w:rPr>
        <w:rFonts w:ascii="Wingdings" w:hAnsi="Wingdings" w:hint="default"/>
      </w:rPr>
    </w:lvl>
    <w:lvl w:ilvl="6" w:tplc="C59444B4" w:tentative="1">
      <w:start w:val="1"/>
      <w:numFmt w:val="bullet"/>
      <w:lvlText w:val=""/>
      <w:lvlJc w:val="left"/>
      <w:pPr>
        <w:ind w:left="5040" w:hanging="360"/>
      </w:pPr>
      <w:rPr>
        <w:rFonts w:ascii="Symbol" w:hAnsi="Symbol" w:hint="default"/>
      </w:rPr>
    </w:lvl>
    <w:lvl w:ilvl="7" w:tplc="3EB4D17A" w:tentative="1">
      <w:start w:val="1"/>
      <w:numFmt w:val="bullet"/>
      <w:lvlText w:val="o"/>
      <w:lvlJc w:val="left"/>
      <w:pPr>
        <w:ind w:left="5760" w:hanging="360"/>
      </w:pPr>
      <w:rPr>
        <w:rFonts w:ascii="Courier New" w:hAnsi="Courier New" w:cs="Courier New" w:hint="default"/>
      </w:rPr>
    </w:lvl>
    <w:lvl w:ilvl="8" w:tplc="D3FAB378" w:tentative="1">
      <w:start w:val="1"/>
      <w:numFmt w:val="bullet"/>
      <w:lvlText w:val=""/>
      <w:lvlJc w:val="left"/>
      <w:pPr>
        <w:ind w:left="6480" w:hanging="360"/>
      </w:pPr>
      <w:rPr>
        <w:rFonts w:ascii="Wingdings" w:hAnsi="Wingdings" w:hint="default"/>
      </w:rPr>
    </w:lvl>
  </w:abstractNum>
  <w:abstractNum w:abstractNumId="3" w15:restartNumberingAfterBreak="0">
    <w:nsid w:val="706F323D"/>
    <w:multiLevelType w:val="hybridMultilevel"/>
    <w:tmpl w:val="F7FC23A2"/>
    <w:lvl w:ilvl="0" w:tplc="86E68C7A">
      <w:start w:val="1"/>
      <w:numFmt w:val="bullet"/>
      <w:lvlText w:val=""/>
      <w:lvlJc w:val="left"/>
      <w:pPr>
        <w:tabs>
          <w:tab w:val="num" w:pos="720"/>
        </w:tabs>
        <w:ind w:left="720" w:hanging="360"/>
      </w:pPr>
      <w:rPr>
        <w:rFonts w:ascii="Symbol" w:hAnsi="Symbol" w:hint="default"/>
      </w:rPr>
    </w:lvl>
    <w:lvl w:ilvl="1" w:tplc="AA5653D0" w:tentative="1">
      <w:start w:val="1"/>
      <w:numFmt w:val="bullet"/>
      <w:lvlText w:val="o"/>
      <w:lvlJc w:val="left"/>
      <w:pPr>
        <w:ind w:left="1440" w:hanging="360"/>
      </w:pPr>
      <w:rPr>
        <w:rFonts w:ascii="Courier New" w:hAnsi="Courier New" w:cs="Courier New" w:hint="default"/>
      </w:rPr>
    </w:lvl>
    <w:lvl w:ilvl="2" w:tplc="C7B2A848" w:tentative="1">
      <w:start w:val="1"/>
      <w:numFmt w:val="bullet"/>
      <w:lvlText w:val=""/>
      <w:lvlJc w:val="left"/>
      <w:pPr>
        <w:ind w:left="2160" w:hanging="360"/>
      </w:pPr>
      <w:rPr>
        <w:rFonts w:ascii="Wingdings" w:hAnsi="Wingdings" w:hint="default"/>
      </w:rPr>
    </w:lvl>
    <w:lvl w:ilvl="3" w:tplc="73C60028" w:tentative="1">
      <w:start w:val="1"/>
      <w:numFmt w:val="bullet"/>
      <w:lvlText w:val=""/>
      <w:lvlJc w:val="left"/>
      <w:pPr>
        <w:ind w:left="2880" w:hanging="360"/>
      </w:pPr>
      <w:rPr>
        <w:rFonts w:ascii="Symbol" w:hAnsi="Symbol" w:hint="default"/>
      </w:rPr>
    </w:lvl>
    <w:lvl w:ilvl="4" w:tplc="3EA24340" w:tentative="1">
      <w:start w:val="1"/>
      <w:numFmt w:val="bullet"/>
      <w:lvlText w:val="o"/>
      <w:lvlJc w:val="left"/>
      <w:pPr>
        <w:ind w:left="3600" w:hanging="360"/>
      </w:pPr>
      <w:rPr>
        <w:rFonts w:ascii="Courier New" w:hAnsi="Courier New" w:cs="Courier New" w:hint="default"/>
      </w:rPr>
    </w:lvl>
    <w:lvl w:ilvl="5" w:tplc="38DE0D4C" w:tentative="1">
      <w:start w:val="1"/>
      <w:numFmt w:val="bullet"/>
      <w:lvlText w:val=""/>
      <w:lvlJc w:val="left"/>
      <w:pPr>
        <w:ind w:left="4320" w:hanging="360"/>
      </w:pPr>
      <w:rPr>
        <w:rFonts w:ascii="Wingdings" w:hAnsi="Wingdings" w:hint="default"/>
      </w:rPr>
    </w:lvl>
    <w:lvl w:ilvl="6" w:tplc="6298EF46" w:tentative="1">
      <w:start w:val="1"/>
      <w:numFmt w:val="bullet"/>
      <w:lvlText w:val=""/>
      <w:lvlJc w:val="left"/>
      <w:pPr>
        <w:ind w:left="5040" w:hanging="360"/>
      </w:pPr>
      <w:rPr>
        <w:rFonts w:ascii="Symbol" w:hAnsi="Symbol" w:hint="default"/>
      </w:rPr>
    </w:lvl>
    <w:lvl w:ilvl="7" w:tplc="11729D8A" w:tentative="1">
      <w:start w:val="1"/>
      <w:numFmt w:val="bullet"/>
      <w:lvlText w:val="o"/>
      <w:lvlJc w:val="left"/>
      <w:pPr>
        <w:ind w:left="5760" w:hanging="360"/>
      </w:pPr>
      <w:rPr>
        <w:rFonts w:ascii="Courier New" w:hAnsi="Courier New" w:cs="Courier New" w:hint="default"/>
      </w:rPr>
    </w:lvl>
    <w:lvl w:ilvl="8" w:tplc="25687EA8" w:tentative="1">
      <w:start w:val="1"/>
      <w:numFmt w:val="bullet"/>
      <w:lvlText w:val=""/>
      <w:lvlJc w:val="left"/>
      <w:pPr>
        <w:ind w:left="6480" w:hanging="360"/>
      </w:pPr>
      <w:rPr>
        <w:rFonts w:ascii="Wingdings" w:hAnsi="Wingdings" w:hint="default"/>
      </w:rPr>
    </w:lvl>
  </w:abstractNum>
  <w:abstractNum w:abstractNumId="4" w15:restartNumberingAfterBreak="0">
    <w:nsid w:val="7C9A7BB2"/>
    <w:multiLevelType w:val="hybridMultilevel"/>
    <w:tmpl w:val="548625BE"/>
    <w:lvl w:ilvl="0" w:tplc="6D9438D6">
      <w:start w:val="1"/>
      <w:numFmt w:val="bullet"/>
      <w:lvlText w:val=""/>
      <w:lvlJc w:val="left"/>
      <w:pPr>
        <w:tabs>
          <w:tab w:val="num" w:pos="720"/>
        </w:tabs>
        <w:ind w:left="720" w:hanging="360"/>
      </w:pPr>
      <w:rPr>
        <w:rFonts w:ascii="Symbol" w:hAnsi="Symbol" w:hint="default"/>
      </w:rPr>
    </w:lvl>
    <w:lvl w:ilvl="1" w:tplc="DBAAC72E" w:tentative="1">
      <w:start w:val="1"/>
      <w:numFmt w:val="bullet"/>
      <w:lvlText w:val="o"/>
      <w:lvlJc w:val="left"/>
      <w:pPr>
        <w:ind w:left="1440" w:hanging="360"/>
      </w:pPr>
      <w:rPr>
        <w:rFonts w:ascii="Courier New" w:hAnsi="Courier New" w:cs="Courier New" w:hint="default"/>
      </w:rPr>
    </w:lvl>
    <w:lvl w:ilvl="2" w:tplc="D6F8785C" w:tentative="1">
      <w:start w:val="1"/>
      <w:numFmt w:val="bullet"/>
      <w:lvlText w:val=""/>
      <w:lvlJc w:val="left"/>
      <w:pPr>
        <w:ind w:left="2160" w:hanging="360"/>
      </w:pPr>
      <w:rPr>
        <w:rFonts w:ascii="Wingdings" w:hAnsi="Wingdings" w:hint="default"/>
      </w:rPr>
    </w:lvl>
    <w:lvl w:ilvl="3" w:tplc="D276B16E" w:tentative="1">
      <w:start w:val="1"/>
      <w:numFmt w:val="bullet"/>
      <w:lvlText w:val=""/>
      <w:lvlJc w:val="left"/>
      <w:pPr>
        <w:ind w:left="2880" w:hanging="360"/>
      </w:pPr>
      <w:rPr>
        <w:rFonts w:ascii="Symbol" w:hAnsi="Symbol" w:hint="default"/>
      </w:rPr>
    </w:lvl>
    <w:lvl w:ilvl="4" w:tplc="3A16BB8A" w:tentative="1">
      <w:start w:val="1"/>
      <w:numFmt w:val="bullet"/>
      <w:lvlText w:val="o"/>
      <w:lvlJc w:val="left"/>
      <w:pPr>
        <w:ind w:left="3600" w:hanging="360"/>
      </w:pPr>
      <w:rPr>
        <w:rFonts w:ascii="Courier New" w:hAnsi="Courier New" w:cs="Courier New" w:hint="default"/>
      </w:rPr>
    </w:lvl>
    <w:lvl w:ilvl="5" w:tplc="4C8283BE" w:tentative="1">
      <w:start w:val="1"/>
      <w:numFmt w:val="bullet"/>
      <w:lvlText w:val=""/>
      <w:lvlJc w:val="left"/>
      <w:pPr>
        <w:ind w:left="4320" w:hanging="360"/>
      </w:pPr>
      <w:rPr>
        <w:rFonts w:ascii="Wingdings" w:hAnsi="Wingdings" w:hint="default"/>
      </w:rPr>
    </w:lvl>
    <w:lvl w:ilvl="6" w:tplc="A70CFA2E" w:tentative="1">
      <w:start w:val="1"/>
      <w:numFmt w:val="bullet"/>
      <w:lvlText w:val=""/>
      <w:lvlJc w:val="left"/>
      <w:pPr>
        <w:ind w:left="5040" w:hanging="360"/>
      </w:pPr>
      <w:rPr>
        <w:rFonts w:ascii="Symbol" w:hAnsi="Symbol" w:hint="default"/>
      </w:rPr>
    </w:lvl>
    <w:lvl w:ilvl="7" w:tplc="5B3694BE" w:tentative="1">
      <w:start w:val="1"/>
      <w:numFmt w:val="bullet"/>
      <w:lvlText w:val="o"/>
      <w:lvlJc w:val="left"/>
      <w:pPr>
        <w:ind w:left="5760" w:hanging="360"/>
      </w:pPr>
      <w:rPr>
        <w:rFonts w:ascii="Courier New" w:hAnsi="Courier New" w:cs="Courier New" w:hint="default"/>
      </w:rPr>
    </w:lvl>
    <w:lvl w:ilvl="8" w:tplc="D7D834A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C44"/>
    <w:rsid w:val="000608B0"/>
    <w:rsid w:val="00060DF2"/>
    <w:rsid w:val="0006104C"/>
    <w:rsid w:val="00064BF2"/>
    <w:rsid w:val="000667BA"/>
    <w:rsid w:val="000676A7"/>
    <w:rsid w:val="00073914"/>
    <w:rsid w:val="00074236"/>
    <w:rsid w:val="000746BD"/>
    <w:rsid w:val="00076D7D"/>
    <w:rsid w:val="00080D95"/>
    <w:rsid w:val="00090E6B"/>
    <w:rsid w:val="00091B2C"/>
    <w:rsid w:val="00091E5A"/>
    <w:rsid w:val="00092ABC"/>
    <w:rsid w:val="00097AAF"/>
    <w:rsid w:val="00097D13"/>
    <w:rsid w:val="000A3D72"/>
    <w:rsid w:val="000A4893"/>
    <w:rsid w:val="000A54E0"/>
    <w:rsid w:val="000A5FE7"/>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DD4"/>
    <w:rsid w:val="000D769C"/>
    <w:rsid w:val="000E1976"/>
    <w:rsid w:val="000E20F1"/>
    <w:rsid w:val="000E3337"/>
    <w:rsid w:val="000E5B20"/>
    <w:rsid w:val="000E7C14"/>
    <w:rsid w:val="000F094C"/>
    <w:rsid w:val="000F18A2"/>
    <w:rsid w:val="000F29C0"/>
    <w:rsid w:val="000F2A7F"/>
    <w:rsid w:val="000F3DBD"/>
    <w:rsid w:val="000F5843"/>
    <w:rsid w:val="000F6A06"/>
    <w:rsid w:val="000F7B9C"/>
    <w:rsid w:val="0010154D"/>
    <w:rsid w:val="00102D3F"/>
    <w:rsid w:val="00102E5A"/>
    <w:rsid w:val="00102EC7"/>
    <w:rsid w:val="0010347D"/>
    <w:rsid w:val="00110F8C"/>
    <w:rsid w:val="0011274A"/>
    <w:rsid w:val="00113522"/>
    <w:rsid w:val="0011378D"/>
    <w:rsid w:val="00115C5D"/>
    <w:rsid w:val="00115EE9"/>
    <w:rsid w:val="001169F9"/>
    <w:rsid w:val="00120797"/>
    <w:rsid w:val="0012371B"/>
    <w:rsid w:val="001245C8"/>
    <w:rsid w:val="00124653"/>
    <w:rsid w:val="001247C5"/>
    <w:rsid w:val="00127893"/>
    <w:rsid w:val="001312BB"/>
    <w:rsid w:val="00137D90"/>
    <w:rsid w:val="00141FB6"/>
    <w:rsid w:val="00142F8E"/>
    <w:rsid w:val="00143C8B"/>
    <w:rsid w:val="00145564"/>
    <w:rsid w:val="0014721E"/>
    <w:rsid w:val="00147530"/>
    <w:rsid w:val="00150AF8"/>
    <w:rsid w:val="0015331F"/>
    <w:rsid w:val="00154AC6"/>
    <w:rsid w:val="00156AB2"/>
    <w:rsid w:val="00160402"/>
    <w:rsid w:val="00160571"/>
    <w:rsid w:val="00161E93"/>
    <w:rsid w:val="00162C7A"/>
    <w:rsid w:val="00162DAE"/>
    <w:rsid w:val="001639C5"/>
    <w:rsid w:val="00163E45"/>
    <w:rsid w:val="00163F31"/>
    <w:rsid w:val="001664C2"/>
    <w:rsid w:val="00171BF2"/>
    <w:rsid w:val="0017347B"/>
    <w:rsid w:val="0017725B"/>
    <w:rsid w:val="0018050C"/>
    <w:rsid w:val="0018078F"/>
    <w:rsid w:val="0018117F"/>
    <w:rsid w:val="001824ED"/>
    <w:rsid w:val="00183262"/>
    <w:rsid w:val="00184B03"/>
    <w:rsid w:val="00185C59"/>
    <w:rsid w:val="00185CD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5F6"/>
    <w:rsid w:val="001C7957"/>
    <w:rsid w:val="001C7DB8"/>
    <w:rsid w:val="001C7EA8"/>
    <w:rsid w:val="001D1711"/>
    <w:rsid w:val="001D2A01"/>
    <w:rsid w:val="001D2EF6"/>
    <w:rsid w:val="001D37A8"/>
    <w:rsid w:val="001D462E"/>
    <w:rsid w:val="001E2CAD"/>
    <w:rsid w:val="001E34DB"/>
    <w:rsid w:val="001E37CD"/>
    <w:rsid w:val="001E4070"/>
    <w:rsid w:val="001E513B"/>
    <w:rsid w:val="001E655E"/>
    <w:rsid w:val="001F3CB8"/>
    <w:rsid w:val="001F6B91"/>
    <w:rsid w:val="001F703C"/>
    <w:rsid w:val="00200B9E"/>
    <w:rsid w:val="00200BF5"/>
    <w:rsid w:val="002010D1"/>
    <w:rsid w:val="00201338"/>
    <w:rsid w:val="0020775D"/>
    <w:rsid w:val="002116DD"/>
    <w:rsid w:val="00211DCC"/>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904"/>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9A3"/>
    <w:rsid w:val="00333930"/>
    <w:rsid w:val="0033447C"/>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24"/>
    <w:rsid w:val="00363854"/>
    <w:rsid w:val="00364315"/>
    <w:rsid w:val="003643E2"/>
    <w:rsid w:val="00370155"/>
    <w:rsid w:val="003712D5"/>
    <w:rsid w:val="003747DF"/>
    <w:rsid w:val="00377E3D"/>
    <w:rsid w:val="003847E8"/>
    <w:rsid w:val="00385FA0"/>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AA0"/>
    <w:rsid w:val="003E6CB0"/>
    <w:rsid w:val="003F1F5E"/>
    <w:rsid w:val="003F286A"/>
    <w:rsid w:val="003F728B"/>
    <w:rsid w:val="003F77F8"/>
    <w:rsid w:val="00400ACD"/>
    <w:rsid w:val="00402A6D"/>
    <w:rsid w:val="00403B15"/>
    <w:rsid w:val="00403E8A"/>
    <w:rsid w:val="00404FA3"/>
    <w:rsid w:val="004101E4"/>
    <w:rsid w:val="00410661"/>
    <w:rsid w:val="004108C3"/>
    <w:rsid w:val="00410B33"/>
    <w:rsid w:val="004116C6"/>
    <w:rsid w:val="004120CC"/>
    <w:rsid w:val="00412ED2"/>
    <w:rsid w:val="00412F0F"/>
    <w:rsid w:val="004134CE"/>
    <w:rsid w:val="004136A8"/>
    <w:rsid w:val="00415139"/>
    <w:rsid w:val="004166BB"/>
    <w:rsid w:val="004174CD"/>
    <w:rsid w:val="004226CF"/>
    <w:rsid w:val="00423ED4"/>
    <w:rsid w:val="004241AA"/>
    <w:rsid w:val="0042422E"/>
    <w:rsid w:val="0043190E"/>
    <w:rsid w:val="004324E9"/>
    <w:rsid w:val="004350F3"/>
    <w:rsid w:val="004363EE"/>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379"/>
    <w:rsid w:val="00480080"/>
    <w:rsid w:val="004824A7"/>
    <w:rsid w:val="0048372C"/>
    <w:rsid w:val="00483AF0"/>
    <w:rsid w:val="00484167"/>
    <w:rsid w:val="00492211"/>
    <w:rsid w:val="00492325"/>
    <w:rsid w:val="00492A6D"/>
    <w:rsid w:val="00494303"/>
    <w:rsid w:val="0049682B"/>
    <w:rsid w:val="004A03F7"/>
    <w:rsid w:val="004A081C"/>
    <w:rsid w:val="004A123F"/>
    <w:rsid w:val="004A2172"/>
    <w:rsid w:val="004A2700"/>
    <w:rsid w:val="004A57E1"/>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325"/>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2722"/>
    <w:rsid w:val="00555034"/>
    <w:rsid w:val="005570D2"/>
    <w:rsid w:val="005578E8"/>
    <w:rsid w:val="0056153F"/>
    <w:rsid w:val="00561B14"/>
    <w:rsid w:val="00562C87"/>
    <w:rsid w:val="005636BD"/>
    <w:rsid w:val="00565AD4"/>
    <w:rsid w:val="005666D5"/>
    <w:rsid w:val="005669A7"/>
    <w:rsid w:val="00573401"/>
    <w:rsid w:val="00573E7E"/>
    <w:rsid w:val="00576714"/>
    <w:rsid w:val="0057685A"/>
    <w:rsid w:val="005847EF"/>
    <w:rsid w:val="005851E6"/>
    <w:rsid w:val="005878B7"/>
    <w:rsid w:val="00592C9A"/>
    <w:rsid w:val="00593DF8"/>
    <w:rsid w:val="00595745"/>
    <w:rsid w:val="005A0A94"/>
    <w:rsid w:val="005A0E18"/>
    <w:rsid w:val="005A12A5"/>
    <w:rsid w:val="005A3790"/>
    <w:rsid w:val="005A3CCB"/>
    <w:rsid w:val="005A6D13"/>
    <w:rsid w:val="005B031F"/>
    <w:rsid w:val="005B3154"/>
    <w:rsid w:val="005B3298"/>
    <w:rsid w:val="005B5516"/>
    <w:rsid w:val="005B5D2B"/>
    <w:rsid w:val="005B6E75"/>
    <w:rsid w:val="005C1496"/>
    <w:rsid w:val="005C17C5"/>
    <w:rsid w:val="005C2B21"/>
    <w:rsid w:val="005C2C00"/>
    <w:rsid w:val="005C4093"/>
    <w:rsid w:val="005C4C6F"/>
    <w:rsid w:val="005C5127"/>
    <w:rsid w:val="005C56F4"/>
    <w:rsid w:val="005C7CCB"/>
    <w:rsid w:val="005D1444"/>
    <w:rsid w:val="005D4DAE"/>
    <w:rsid w:val="005D767D"/>
    <w:rsid w:val="005D7A30"/>
    <w:rsid w:val="005D7D3B"/>
    <w:rsid w:val="005E0DB3"/>
    <w:rsid w:val="005E1999"/>
    <w:rsid w:val="005E232C"/>
    <w:rsid w:val="005E2B83"/>
    <w:rsid w:val="005E4AEB"/>
    <w:rsid w:val="005E738F"/>
    <w:rsid w:val="005E788B"/>
    <w:rsid w:val="005F1519"/>
    <w:rsid w:val="005F27EC"/>
    <w:rsid w:val="005F4862"/>
    <w:rsid w:val="005F4F87"/>
    <w:rsid w:val="005F5679"/>
    <w:rsid w:val="005F5FDF"/>
    <w:rsid w:val="005F6960"/>
    <w:rsid w:val="005F6F95"/>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169"/>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458"/>
    <w:rsid w:val="00662B77"/>
    <w:rsid w:val="00662D0E"/>
    <w:rsid w:val="00663265"/>
    <w:rsid w:val="0066345F"/>
    <w:rsid w:val="0066485B"/>
    <w:rsid w:val="0067036E"/>
    <w:rsid w:val="00670707"/>
    <w:rsid w:val="00671693"/>
    <w:rsid w:val="00672A1A"/>
    <w:rsid w:val="006757AA"/>
    <w:rsid w:val="0068127E"/>
    <w:rsid w:val="00681790"/>
    <w:rsid w:val="006823AA"/>
    <w:rsid w:val="006835CB"/>
    <w:rsid w:val="00684697"/>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8C4"/>
    <w:rsid w:val="006E0CAC"/>
    <w:rsid w:val="006E121A"/>
    <w:rsid w:val="006E1CFB"/>
    <w:rsid w:val="006E1F94"/>
    <w:rsid w:val="006E26C1"/>
    <w:rsid w:val="006E30A8"/>
    <w:rsid w:val="006E45B0"/>
    <w:rsid w:val="006E5692"/>
    <w:rsid w:val="006F365D"/>
    <w:rsid w:val="006F4BB0"/>
    <w:rsid w:val="00701F18"/>
    <w:rsid w:val="007031BD"/>
    <w:rsid w:val="00703E80"/>
    <w:rsid w:val="00705276"/>
    <w:rsid w:val="007066A0"/>
    <w:rsid w:val="007075FB"/>
    <w:rsid w:val="0070787B"/>
    <w:rsid w:val="0071131D"/>
    <w:rsid w:val="00711AFD"/>
    <w:rsid w:val="00711E3D"/>
    <w:rsid w:val="00711E85"/>
    <w:rsid w:val="00712DDA"/>
    <w:rsid w:val="00715D76"/>
    <w:rsid w:val="00717739"/>
    <w:rsid w:val="00717DE4"/>
    <w:rsid w:val="00721724"/>
    <w:rsid w:val="00722EC5"/>
    <w:rsid w:val="00723326"/>
    <w:rsid w:val="00724252"/>
    <w:rsid w:val="00727E7A"/>
    <w:rsid w:val="0073163C"/>
    <w:rsid w:val="00731DE3"/>
    <w:rsid w:val="00734684"/>
    <w:rsid w:val="00735B9D"/>
    <w:rsid w:val="007365A5"/>
    <w:rsid w:val="00736FB0"/>
    <w:rsid w:val="007404BC"/>
    <w:rsid w:val="00740D13"/>
    <w:rsid w:val="00740F5F"/>
    <w:rsid w:val="00742794"/>
    <w:rsid w:val="00743C4C"/>
    <w:rsid w:val="007445B7"/>
    <w:rsid w:val="00744920"/>
    <w:rsid w:val="0074573C"/>
    <w:rsid w:val="007509BE"/>
    <w:rsid w:val="0075287B"/>
    <w:rsid w:val="00755C7B"/>
    <w:rsid w:val="00764786"/>
    <w:rsid w:val="00766E12"/>
    <w:rsid w:val="0077098E"/>
    <w:rsid w:val="00771287"/>
    <w:rsid w:val="0077149E"/>
    <w:rsid w:val="00774950"/>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AB2"/>
    <w:rsid w:val="007A7EC1"/>
    <w:rsid w:val="007B4FCA"/>
    <w:rsid w:val="007B7B85"/>
    <w:rsid w:val="007C24CF"/>
    <w:rsid w:val="007C462E"/>
    <w:rsid w:val="007C496B"/>
    <w:rsid w:val="007C6803"/>
    <w:rsid w:val="007D2892"/>
    <w:rsid w:val="007D2DCC"/>
    <w:rsid w:val="007D47E1"/>
    <w:rsid w:val="007D7FCB"/>
    <w:rsid w:val="007E33B6"/>
    <w:rsid w:val="007E59E8"/>
    <w:rsid w:val="007F0E92"/>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B17"/>
    <w:rsid w:val="00830EEB"/>
    <w:rsid w:val="008347A9"/>
    <w:rsid w:val="00835628"/>
    <w:rsid w:val="00835E90"/>
    <w:rsid w:val="0084176D"/>
    <w:rsid w:val="00841DE6"/>
    <w:rsid w:val="008423E4"/>
    <w:rsid w:val="00842900"/>
    <w:rsid w:val="00846A35"/>
    <w:rsid w:val="00850CF0"/>
    <w:rsid w:val="00851869"/>
    <w:rsid w:val="00851C04"/>
    <w:rsid w:val="008531A1"/>
    <w:rsid w:val="00853A94"/>
    <w:rsid w:val="008547A3"/>
    <w:rsid w:val="0085797D"/>
    <w:rsid w:val="00860020"/>
    <w:rsid w:val="008618E7"/>
    <w:rsid w:val="00861995"/>
    <w:rsid w:val="0086231A"/>
    <w:rsid w:val="0086279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53D"/>
    <w:rsid w:val="00897E80"/>
    <w:rsid w:val="008A04FA"/>
    <w:rsid w:val="008A2BC6"/>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4CEC"/>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1F"/>
    <w:rsid w:val="00917E0C"/>
    <w:rsid w:val="00920711"/>
    <w:rsid w:val="00921A1E"/>
    <w:rsid w:val="00924EA9"/>
    <w:rsid w:val="0092566E"/>
    <w:rsid w:val="00925CE1"/>
    <w:rsid w:val="00925F5C"/>
    <w:rsid w:val="00930897"/>
    <w:rsid w:val="009320D2"/>
    <w:rsid w:val="00932C77"/>
    <w:rsid w:val="0093417F"/>
    <w:rsid w:val="00934AC2"/>
    <w:rsid w:val="009375BB"/>
    <w:rsid w:val="009407C7"/>
    <w:rsid w:val="009418E9"/>
    <w:rsid w:val="00946044"/>
    <w:rsid w:val="009465AB"/>
    <w:rsid w:val="00946DEE"/>
    <w:rsid w:val="00953499"/>
    <w:rsid w:val="00954A16"/>
    <w:rsid w:val="0095696D"/>
    <w:rsid w:val="0096482F"/>
    <w:rsid w:val="00964E3A"/>
    <w:rsid w:val="00965F81"/>
    <w:rsid w:val="00967126"/>
    <w:rsid w:val="00970EAE"/>
    <w:rsid w:val="00971627"/>
    <w:rsid w:val="00972797"/>
    <w:rsid w:val="0097279D"/>
    <w:rsid w:val="00972E8A"/>
    <w:rsid w:val="00976837"/>
    <w:rsid w:val="00980311"/>
    <w:rsid w:val="0098170E"/>
    <w:rsid w:val="0098285C"/>
    <w:rsid w:val="00983B56"/>
    <w:rsid w:val="009847FD"/>
    <w:rsid w:val="009851B3"/>
    <w:rsid w:val="00985300"/>
    <w:rsid w:val="00986720"/>
    <w:rsid w:val="00987F00"/>
    <w:rsid w:val="0099403D"/>
    <w:rsid w:val="00994B2A"/>
    <w:rsid w:val="00995B0B"/>
    <w:rsid w:val="009A1883"/>
    <w:rsid w:val="009A39F5"/>
    <w:rsid w:val="009A4588"/>
    <w:rsid w:val="009A5EA5"/>
    <w:rsid w:val="009A76B9"/>
    <w:rsid w:val="009B00C2"/>
    <w:rsid w:val="009B26AB"/>
    <w:rsid w:val="009B3476"/>
    <w:rsid w:val="009B39BC"/>
    <w:rsid w:val="009B5069"/>
    <w:rsid w:val="009B62F0"/>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B9F"/>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730A"/>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4C8"/>
    <w:rsid w:val="00AC2E9A"/>
    <w:rsid w:val="00AC5AAB"/>
    <w:rsid w:val="00AC5AEC"/>
    <w:rsid w:val="00AC5F28"/>
    <w:rsid w:val="00AC6900"/>
    <w:rsid w:val="00AD304B"/>
    <w:rsid w:val="00AD35D4"/>
    <w:rsid w:val="00AD4497"/>
    <w:rsid w:val="00AD76FA"/>
    <w:rsid w:val="00AD7780"/>
    <w:rsid w:val="00AD7989"/>
    <w:rsid w:val="00AE0719"/>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126B"/>
    <w:rsid w:val="00B233BB"/>
    <w:rsid w:val="00B25612"/>
    <w:rsid w:val="00B26437"/>
    <w:rsid w:val="00B2678E"/>
    <w:rsid w:val="00B30647"/>
    <w:rsid w:val="00B31F0E"/>
    <w:rsid w:val="00B34F25"/>
    <w:rsid w:val="00B4099B"/>
    <w:rsid w:val="00B43672"/>
    <w:rsid w:val="00B473D8"/>
    <w:rsid w:val="00B47A71"/>
    <w:rsid w:val="00B5165A"/>
    <w:rsid w:val="00B524C1"/>
    <w:rsid w:val="00B52C8D"/>
    <w:rsid w:val="00B564BF"/>
    <w:rsid w:val="00B6104E"/>
    <w:rsid w:val="00B610C7"/>
    <w:rsid w:val="00B62106"/>
    <w:rsid w:val="00B626A8"/>
    <w:rsid w:val="00B65695"/>
    <w:rsid w:val="00B65DAB"/>
    <w:rsid w:val="00B66526"/>
    <w:rsid w:val="00B665A3"/>
    <w:rsid w:val="00B67C8C"/>
    <w:rsid w:val="00B71BAF"/>
    <w:rsid w:val="00B73BB4"/>
    <w:rsid w:val="00B80532"/>
    <w:rsid w:val="00B82039"/>
    <w:rsid w:val="00B82454"/>
    <w:rsid w:val="00B83F75"/>
    <w:rsid w:val="00B90097"/>
    <w:rsid w:val="00B90999"/>
    <w:rsid w:val="00B91AD7"/>
    <w:rsid w:val="00B92D23"/>
    <w:rsid w:val="00B95A51"/>
    <w:rsid w:val="00B95BC8"/>
    <w:rsid w:val="00B96E87"/>
    <w:rsid w:val="00BA146A"/>
    <w:rsid w:val="00BA2430"/>
    <w:rsid w:val="00BA32EE"/>
    <w:rsid w:val="00BA4CC2"/>
    <w:rsid w:val="00BB5B36"/>
    <w:rsid w:val="00BC027B"/>
    <w:rsid w:val="00BC30A6"/>
    <w:rsid w:val="00BC3ED3"/>
    <w:rsid w:val="00BC3EF6"/>
    <w:rsid w:val="00BC4E34"/>
    <w:rsid w:val="00BC51D0"/>
    <w:rsid w:val="00BC58E1"/>
    <w:rsid w:val="00BC59CA"/>
    <w:rsid w:val="00BC6462"/>
    <w:rsid w:val="00BD0A32"/>
    <w:rsid w:val="00BD3C8F"/>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2B9C"/>
    <w:rsid w:val="00C23956"/>
    <w:rsid w:val="00C248E6"/>
    <w:rsid w:val="00C27565"/>
    <w:rsid w:val="00C2766F"/>
    <w:rsid w:val="00C3223B"/>
    <w:rsid w:val="00C333C6"/>
    <w:rsid w:val="00C35CC5"/>
    <w:rsid w:val="00C361C5"/>
    <w:rsid w:val="00C377D1"/>
    <w:rsid w:val="00C37BDA"/>
    <w:rsid w:val="00C37C84"/>
    <w:rsid w:val="00C42B41"/>
    <w:rsid w:val="00C458DA"/>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C1C"/>
    <w:rsid w:val="00CB3627"/>
    <w:rsid w:val="00CB4B4B"/>
    <w:rsid w:val="00CB4B73"/>
    <w:rsid w:val="00CB62DF"/>
    <w:rsid w:val="00CB74CB"/>
    <w:rsid w:val="00CB7E04"/>
    <w:rsid w:val="00CC24B7"/>
    <w:rsid w:val="00CC7131"/>
    <w:rsid w:val="00CC7B9E"/>
    <w:rsid w:val="00CD06CA"/>
    <w:rsid w:val="00CD076A"/>
    <w:rsid w:val="00CD180C"/>
    <w:rsid w:val="00CD37DA"/>
    <w:rsid w:val="00CD4F2C"/>
    <w:rsid w:val="00CD731C"/>
    <w:rsid w:val="00CE08E8"/>
    <w:rsid w:val="00CE2133"/>
    <w:rsid w:val="00CE23DE"/>
    <w:rsid w:val="00CE245D"/>
    <w:rsid w:val="00CE300F"/>
    <w:rsid w:val="00CE3582"/>
    <w:rsid w:val="00CE3795"/>
    <w:rsid w:val="00CE3E20"/>
    <w:rsid w:val="00CE5FD7"/>
    <w:rsid w:val="00CF4827"/>
    <w:rsid w:val="00CF4C69"/>
    <w:rsid w:val="00CF581C"/>
    <w:rsid w:val="00CF71E0"/>
    <w:rsid w:val="00D001B1"/>
    <w:rsid w:val="00D03176"/>
    <w:rsid w:val="00D060A8"/>
    <w:rsid w:val="00D06605"/>
    <w:rsid w:val="00D06E0C"/>
    <w:rsid w:val="00D0720F"/>
    <w:rsid w:val="00D074E2"/>
    <w:rsid w:val="00D11B0B"/>
    <w:rsid w:val="00D12A3E"/>
    <w:rsid w:val="00D22160"/>
    <w:rsid w:val="00D22172"/>
    <w:rsid w:val="00D2301B"/>
    <w:rsid w:val="00D239EE"/>
    <w:rsid w:val="00D30534"/>
    <w:rsid w:val="00D316E5"/>
    <w:rsid w:val="00D32672"/>
    <w:rsid w:val="00D35728"/>
    <w:rsid w:val="00D37BCF"/>
    <w:rsid w:val="00D40F93"/>
    <w:rsid w:val="00D42277"/>
    <w:rsid w:val="00D43C59"/>
    <w:rsid w:val="00D44ADE"/>
    <w:rsid w:val="00D4503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003"/>
    <w:rsid w:val="00D700B1"/>
    <w:rsid w:val="00D730FA"/>
    <w:rsid w:val="00D76631"/>
    <w:rsid w:val="00D768B7"/>
    <w:rsid w:val="00D77492"/>
    <w:rsid w:val="00D811E8"/>
    <w:rsid w:val="00D818E1"/>
    <w:rsid w:val="00D81A44"/>
    <w:rsid w:val="00D83072"/>
    <w:rsid w:val="00D83ABC"/>
    <w:rsid w:val="00D84870"/>
    <w:rsid w:val="00D91B92"/>
    <w:rsid w:val="00D926B3"/>
    <w:rsid w:val="00D92B81"/>
    <w:rsid w:val="00D92F63"/>
    <w:rsid w:val="00D947B6"/>
    <w:rsid w:val="00D97E00"/>
    <w:rsid w:val="00DA00BC"/>
    <w:rsid w:val="00DA0E22"/>
    <w:rsid w:val="00DA1EFA"/>
    <w:rsid w:val="00DA25E7"/>
    <w:rsid w:val="00DA3687"/>
    <w:rsid w:val="00DA39F2"/>
    <w:rsid w:val="00DA564B"/>
    <w:rsid w:val="00DA651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18A7"/>
    <w:rsid w:val="00DF2707"/>
    <w:rsid w:val="00DF4D90"/>
    <w:rsid w:val="00DF5EBD"/>
    <w:rsid w:val="00DF6BA8"/>
    <w:rsid w:val="00DF78EA"/>
    <w:rsid w:val="00DF7CA3"/>
    <w:rsid w:val="00DF7F0D"/>
    <w:rsid w:val="00E0031E"/>
    <w:rsid w:val="00E004CA"/>
    <w:rsid w:val="00E00D5A"/>
    <w:rsid w:val="00E01462"/>
    <w:rsid w:val="00E01A76"/>
    <w:rsid w:val="00E04B30"/>
    <w:rsid w:val="00E05FB7"/>
    <w:rsid w:val="00E066E6"/>
    <w:rsid w:val="00E06807"/>
    <w:rsid w:val="00E06C5E"/>
    <w:rsid w:val="00E0752B"/>
    <w:rsid w:val="00E1228E"/>
    <w:rsid w:val="00E127A7"/>
    <w:rsid w:val="00E129B4"/>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BB3"/>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683"/>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1F16"/>
    <w:rsid w:val="00F12B24"/>
    <w:rsid w:val="00F12BC7"/>
    <w:rsid w:val="00F15223"/>
    <w:rsid w:val="00F164B4"/>
    <w:rsid w:val="00F176E4"/>
    <w:rsid w:val="00F20E5F"/>
    <w:rsid w:val="00F25CC2"/>
    <w:rsid w:val="00F27573"/>
    <w:rsid w:val="00F278C9"/>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4C4"/>
    <w:rsid w:val="00F6514B"/>
    <w:rsid w:val="00F6587F"/>
    <w:rsid w:val="00F67981"/>
    <w:rsid w:val="00F706CA"/>
    <w:rsid w:val="00F70F8D"/>
    <w:rsid w:val="00F71C5A"/>
    <w:rsid w:val="00F733A4"/>
    <w:rsid w:val="00F7758F"/>
    <w:rsid w:val="00F82811"/>
    <w:rsid w:val="00F84153"/>
    <w:rsid w:val="00F85661"/>
    <w:rsid w:val="00F93154"/>
    <w:rsid w:val="00F96602"/>
    <w:rsid w:val="00F9735A"/>
    <w:rsid w:val="00FA32FC"/>
    <w:rsid w:val="00FA59FD"/>
    <w:rsid w:val="00FA5D8C"/>
    <w:rsid w:val="00FA6403"/>
    <w:rsid w:val="00FB06FC"/>
    <w:rsid w:val="00FB16CD"/>
    <w:rsid w:val="00FB73AE"/>
    <w:rsid w:val="00FC5388"/>
    <w:rsid w:val="00FC726C"/>
    <w:rsid w:val="00FD1B4B"/>
    <w:rsid w:val="00FD1B94"/>
    <w:rsid w:val="00FE19C5"/>
    <w:rsid w:val="00FE4286"/>
    <w:rsid w:val="00FE48C3"/>
    <w:rsid w:val="00FE5909"/>
    <w:rsid w:val="00FE652E"/>
    <w:rsid w:val="00FE71FE"/>
    <w:rsid w:val="00FF077A"/>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996F4-F217-4CDE-A794-02F77B1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565"/>
    <w:rPr>
      <w:sz w:val="16"/>
      <w:szCs w:val="16"/>
    </w:rPr>
  </w:style>
  <w:style w:type="paragraph" w:styleId="CommentText">
    <w:name w:val="annotation text"/>
    <w:basedOn w:val="Normal"/>
    <w:link w:val="CommentTextChar"/>
    <w:semiHidden/>
    <w:unhideWhenUsed/>
    <w:rsid w:val="00C27565"/>
    <w:rPr>
      <w:sz w:val="20"/>
      <w:szCs w:val="20"/>
    </w:rPr>
  </w:style>
  <w:style w:type="character" w:customStyle="1" w:styleId="CommentTextChar">
    <w:name w:val="Comment Text Char"/>
    <w:basedOn w:val="DefaultParagraphFont"/>
    <w:link w:val="CommentText"/>
    <w:semiHidden/>
    <w:rsid w:val="00C27565"/>
  </w:style>
  <w:style w:type="paragraph" w:styleId="CommentSubject">
    <w:name w:val="annotation subject"/>
    <w:basedOn w:val="CommentText"/>
    <w:next w:val="CommentText"/>
    <w:link w:val="CommentSubjectChar"/>
    <w:semiHidden/>
    <w:unhideWhenUsed/>
    <w:rsid w:val="00C27565"/>
    <w:rPr>
      <w:b/>
      <w:bCs/>
    </w:rPr>
  </w:style>
  <w:style w:type="character" w:customStyle="1" w:styleId="CommentSubjectChar">
    <w:name w:val="Comment Subject Char"/>
    <w:basedOn w:val="CommentTextChar"/>
    <w:link w:val="CommentSubject"/>
    <w:semiHidden/>
    <w:rsid w:val="00C27565"/>
    <w:rPr>
      <w:b/>
      <w:bCs/>
    </w:rPr>
  </w:style>
  <w:style w:type="paragraph" w:styleId="ListParagraph">
    <w:name w:val="List Paragraph"/>
    <w:basedOn w:val="Normal"/>
    <w:uiPriority w:val="34"/>
    <w:qFormat/>
    <w:rsid w:val="00154AC6"/>
    <w:pPr>
      <w:ind w:left="720"/>
      <w:contextualSpacing/>
    </w:pPr>
  </w:style>
  <w:style w:type="character" w:styleId="Hyperlink">
    <w:name w:val="Hyperlink"/>
    <w:basedOn w:val="DefaultParagraphFont"/>
    <w:unhideWhenUsed/>
    <w:rsid w:val="005A0A94"/>
    <w:rPr>
      <w:color w:val="0000FF" w:themeColor="hyperlink"/>
      <w:u w:val="single"/>
    </w:rPr>
  </w:style>
  <w:style w:type="paragraph" w:styleId="Revision">
    <w:name w:val="Revision"/>
    <w:hidden/>
    <w:uiPriority w:val="99"/>
    <w:semiHidden/>
    <w:rsid w:val="00D31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9673</Characters>
  <Application>Microsoft Office Word</Application>
  <DocSecurity>4</DocSecurity>
  <Lines>181</Lines>
  <Paragraphs>45</Paragraphs>
  <ScaleCrop>false</ScaleCrop>
  <HeadingPairs>
    <vt:vector size="2" baseType="variant">
      <vt:variant>
        <vt:lpstr>Title</vt:lpstr>
      </vt:variant>
      <vt:variant>
        <vt:i4>1</vt:i4>
      </vt:variant>
    </vt:vector>
  </HeadingPairs>
  <TitlesOfParts>
    <vt:vector size="1" baseType="lpstr">
      <vt:lpstr>BA - HB01900 (Committee Report (Substituted))</vt:lpstr>
    </vt:vector>
  </TitlesOfParts>
  <Company>State of Texas</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23848</dc:subject>
  <dc:creator>State of Texas</dc:creator>
  <dc:description>HB 1900 by Goldman-(H)State Affairs (Substitute Document Number: 87R 23816)</dc:description>
  <cp:lastModifiedBy>Damian Duarte</cp:lastModifiedBy>
  <cp:revision>2</cp:revision>
  <cp:lastPrinted>2003-11-26T17:21:00Z</cp:lastPrinted>
  <dcterms:created xsi:type="dcterms:W3CDTF">2021-05-03T13:59:00Z</dcterms:created>
  <dcterms:modified xsi:type="dcterms:W3CDTF">2021-05-03T13:59:00Z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21.120.1854</vt:lpwstr>
  </property>
</Properties>
</file>