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911A1" w14:paraId="298204A6" w14:textId="77777777" w:rsidTr="00345119">
        <w:tc>
          <w:tcPr>
            <w:tcW w:w="9576" w:type="dxa"/>
            <w:noWrap/>
          </w:tcPr>
          <w:p w14:paraId="3F93F099" w14:textId="77777777" w:rsidR="008423E4" w:rsidRPr="0022177D" w:rsidRDefault="00DE5176" w:rsidP="000E221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BF9150A" w14:textId="77777777" w:rsidR="008423E4" w:rsidRPr="0022177D" w:rsidRDefault="008423E4" w:rsidP="000E2218">
      <w:pPr>
        <w:jc w:val="center"/>
      </w:pPr>
    </w:p>
    <w:p w14:paraId="1DA91E71" w14:textId="77777777" w:rsidR="008423E4" w:rsidRPr="00B31F0E" w:rsidRDefault="008423E4" w:rsidP="000E2218"/>
    <w:p w14:paraId="7C0187A0" w14:textId="77777777" w:rsidR="008423E4" w:rsidRPr="00742794" w:rsidRDefault="008423E4" w:rsidP="000E221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911A1" w14:paraId="29407355" w14:textId="77777777" w:rsidTr="00345119">
        <w:tc>
          <w:tcPr>
            <w:tcW w:w="9576" w:type="dxa"/>
          </w:tcPr>
          <w:p w14:paraId="61BCF644" w14:textId="5287A2B3" w:rsidR="008423E4" w:rsidRPr="00861995" w:rsidRDefault="00DE5176" w:rsidP="000E2218">
            <w:pPr>
              <w:jc w:val="right"/>
            </w:pPr>
            <w:r>
              <w:t>H.B. 1903</w:t>
            </w:r>
          </w:p>
        </w:tc>
      </w:tr>
      <w:tr w:rsidR="006911A1" w14:paraId="04E5D145" w14:textId="77777777" w:rsidTr="00345119">
        <w:tc>
          <w:tcPr>
            <w:tcW w:w="9576" w:type="dxa"/>
          </w:tcPr>
          <w:p w14:paraId="28955B8C" w14:textId="52767935" w:rsidR="008423E4" w:rsidRPr="00861995" w:rsidRDefault="00DE5176" w:rsidP="0094486A">
            <w:pPr>
              <w:jc w:val="right"/>
            </w:pPr>
            <w:r>
              <w:t xml:space="preserve">By: </w:t>
            </w:r>
            <w:r w:rsidR="0094486A">
              <w:t>Walle</w:t>
            </w:r>
          </w:p>
        </w:tc>
      </w:tr>
      <w:tr w:rsidR="006911A1" w14:paraId="5152BA50" w14:textId="77777777" w:rsidTr="00345119">
        <w:tc>
          <w:tcPr>
            <w:tcW w:w="9576" w:type="dxa"/>
          </w:tcPr>
          <w:p w14:paraId="7F99FB83" w14:textId="0E2B481E" w:rsidR="008423E4" w:rsidRPr="00861995" w:rsidRDefault="00DE5176" w:rsidP="000E2218">
            <w:pPr>
              <w:jc w:val="right"/>
            </w:pPr>
            <w:r>
              <w:t>Public Health</w:t>
            </w:r>
          </w:p>
        </w:tc>
      </w:tr>
      <w:tr w:rsidR="006911A1" w14:paraId="57F423EE" w14:textId="77777777" w:rsidTr="00345119">
        <w:tc>
          <w:tcPr>
            <w:tcW w:w="9576" w:type="dxa"/>
          </w:tcPr>
          <w:p w14:paraId="6DC2744A" w14:textId="6AEE6CCA" w:rsidR="008423E4" w:rsidRDefault="00DE5176" w:rsidP="000E2218">
            <w:pPr>
              <w:jc w:val="right"/>
            </w:pPr>
            <w:r>
              <w:t>Committee Report (Unamended)</w:t>
            </w:r>
          </w:p>
        </w:tc>
      </w:tr>
    </w:tbl>
    <w:p w14:paraId="4C1354C6" w14:textId="77777777" w:rsidR="008423E4" w:rsidRDefault="008423E4" w:rsidP="000E2218">
      <w:pPr>
        <w:tabs>
          <w:tab w:val="right" w:pos="9360"/>
        </w:tabs>
      </w:pPr>
    </w:p>
    <w:p w14:paraId="1CA81EAD" w14:textId="77777777" w:rsidR="008423E4" w:rsidRDefault="008423E4" w:rsidP="000E2218"/>
    <w:p w14:paraId="78AD9827" w14:textId="77777777" w:rsidR="008423E4" w:rsidRDefault="008423E4" w:rsidP="000E221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911A1" w14:paraId="332277A7" w14:textId="77777777" w:rsidTr="00345119">
        <w:tc>
          <w:tcPr>
            <w:tcW w:w="9576" w:type="dxa"/>
          </w:tcPr>
          <w:p w14:paraId="36B3110C" w14:textId="77777777" w:rsidR="008423E4" w:rsidRPr="00A8133F" w:rsidRDefault="00DE5176" w:rsidP="000E221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EA1BD06" w14:textId="77777777" w:rsidR="008423E4" w:rsidRDefault="008423E4" w:rsidP="000E2218"/>
          <w:p w14:paraId="4840868C" w14:textId="4AF0E7E9" w:rsidR="00A524C6" w:rsidRDefault="00DE5176" w:rsidP="000E2218">
            <w:pPr>
              <w:jc w:val="both"/>
            </w:pPr>
            <w:r>
              <w:t>Under</w:t>
            </w:r>
            <w:r w:rsidRPr="00F83B9A">
              <w:t xml:space="preserve"> current state </w:t>
            </w:r>
            <w:r>
              <w:t>law</w:t>
            </w:r>
            <w:r w:rsidRPr="00F83B9A">
              <w:t xml:space="preserve">, </w:t>
            </w:r>
            <w:r w:rsidR="00895559">
              <w:t>o</w:t>
            </w:r>
            <w:r w:rsidRPr="00F83B9A">
              <w:t xml:space="preserve">ccupational </w:t>
            </w:r>
            <w:r w:rsidR="00895559">
              <w:t>t</w:t>
            </w:r>
            <w:r w:rsidRPr="00F83B9A">
              <w:t xml:space="preserve">herapists (OTs) are only permitted to practice within the state </w:t>
            </w:r>
            <w:r w:rsidR="00895559">
              <w:t xml:space="preserve">in which </w:t>
            </w:r>
            <w:r w:rsidRPr="00F83B9A">
              <w:t xml:space="preserve">they are licensed. This not </w:t>
            </w:r>
            <w:r w:rsidRPr="00F83B9A">
              <w:t>only causes issues for the practitioner</w:t>
            </w:r>
            <w:r w:rsidR="00895559">
              <w:t xml:space="preserve"> </w:t>
            </w:r>
            <w:r w:rsidRPr="00F83B9A">
              <w:t xml:space="preserve">but also decreases </w:t>
            </w:r>
            <w:r w:rsidR="00895559">
              <w:t xml:space="preserve">a </w:t>
            </w:r>
            <w:r w:rsidRPr="00F83B9A">
              <w:t xml:space="preserve">client's access to adequate and consistent care. Additionally, the current limitations on state licensure decreases the mobility of OTs, including those associated with military spouses, </w:t>
            </w:r>
            <w:r>
              <w:t>who</w:t>
            </w:r>
            <w:r w:rsidRPr="00F83B9A">
              <w:t xml:space="preserve"> are </w:t>
            </w:r>
            <w:r w:rsidRPr="00F83B9A">
              <w:t xml:space="preserve">often </w:t>
            </w:r>
            <w:r>
              <w:t>reassigned to bases in different states every few years</w:t>
            </w:r>
            <w:r w:rsidRPr="00F83B9A">
              <w:t xml:space="preserve">. </w:t>
            </w:r>
          </w:p>
          <w:p w14:paraId="1A7CA2B9" w14:textId="77777777" w:rsidR="00A524C6" w:rsidRDefault="00A524C6" w:rsidP="000E2218">
            <w:pPr>
              <w:jc w:val="both"/>
            </w:pPr>
          </w:p>
          <w:p w14:paraId="4AE47F1D" w14:textId="77777777" w:rsidR="008423E4" w:rsidRDefault="00DE5176" w:rsidP="000E2218">
            <w:pPr>
              <w:jc w:val="both"/>
            </w:pPr>
            <w:r w:rsidRPr="00F83B9A">
              <w:t>H</w:t>
            </w:r>
            <w:r>
              <w:t>.</w:t>
            </w:r>
            <w:r w:rsidRPr="00F83B9A">
              <w:t>B</w:t>
            </w:r>
            <w:r>
              <w:t>.</w:t>
            </w:r>
            <w:r w:rsidRPr="00F83B9A">
              <w:t xml:space="preserve"> 1903</w:t>
            </w:r>
            <w:r>
              <w:t xml:space="preserve"> seeks to</w:t>
            </w:r>
            <w:r w:rsidRPr="00F83B9A">
              <w:t xml:space="preserve"> enact and enter into the Occupational Therapy Licensure Compact </w:t>
            </w:r>
            <w:r>
              <w:t>to allow</w:t>
            </w:r>
            <w:r w:rsidRPr="00F83B9A">
              <w:t xml:space="preserve"> OT</w:t>
            </w:r>
            <w:r>
              <w:t>s</w:t>
            </w:r>
            <w:r w:rsidRPr="00F83B9A">
              <w:t xml:space="preserve"> to practice in all states that join the compact</w:t>
            </w:r>
            <w:r w:rsidR="00923294">
              <w:t>,</w:t>
            </w:r>
            <w:r w:rsidRPr="00F83B9A">
              <w:t xml:space="preserve"> </w:t>
            </w:r>
            <w:r w:rsidR="00923294">
              <w:t xml:space="preserve">thus </w:t>
            </w:r>
            <w:r w:rsidRPr="00F83B9A">
              <w:t>reduc</w:t>
            </w:r>
            <w:r w:rsidR="00923294">
              <w:t>ing</w:t>
            </w:r>
            <w:r w:rsidRPr="00F83B9A">
              <w:t xml:space="preserve"> the obstacles associated with ga</w:t>
            </w:r>
            <w:r w:rsidRPr="00F83B9A">
              <w:t xml:space="preserve">ining individual licenses from </w:t>
            </w:r>
            <w:r w:rsidR="00923294">
              <w:t>various</w:t>
            </w:r>
            <w:r w:rsidR="00923294" w:rsidRPr="00F83B9A">
              <w:t xml:space="preserve"> </w:t>
            </w:r>
            <w:r w:rsidRPr="00F83B9A">
              <w:t>state</w:t>
            </w:r>
            <w:r w:rsidR="00923294">
              <w:t>s</w:t>
            </w:r>
            <w:r w:rsidRPr="00F83B9A">
              <w:t xml:space="preserve"> and </w:t>
            </w:r>
            <w:r w:rsidR="004C619F">
              <w:t>removing the</w:t>
            </w:r>
            <w:r w:rsidR="00923294">
              <w:t xml:space="preserve"> </w:t>
            </w:r>
            <w:r w:rsidR="004C619F" w:rsidRPr="00F83B9A">
              <w:t xml:space="preserve">administrative </w:t>
            </w:r>
            <w:r w:rsidR="004C619F">
              <w:t xml:space="preserve">burden </w:t>
            </w:r>
            <w:r w:rsidR="00923294">
              <w:t xml:space="preserve">the </w:t>
            </w:r>
            <w:r w:rsidR="00923294" w:rsidRPr="00A363B4">
              <w:t>Texas Board of Occupational Therapy Examiners</w:t>
            </w:r>
            <w:r w:rsidR="004C619F">
              <w:t xml:space="preserve"> faces in processing applications from qualified, already licensed OTs seeking to practice in Texas</w:t>
            </w:r>
            <w:r w:rsidRPr="00F83B9A">
              <w:t xml:space="preserve">. </w:t>
            </w:r>
          </w:p>
          <w:p w14:paraId="5C729747" w14:textId="1FCE5D78" w:rsidR="005C118D" w:rsidRPr="00E26B13" w:rsidRDefault="005C118D" w:rsidP="000E2218">
            <w:pPr>
              <w:jc w:val="both"/>
              <w:rPr>
                <w:b/>
              </w:rPr>
            </w:pPr>
          </w:p>
        </w:tc>
      </w:tr>
      <w:tr w:rsidR="006911A1" w14:paraId="62C0EDFD" w14:textId="77777777" w:rsidTr="00345119">
        <w:tc>
          <w:tcPr>
            <w:tcW w:w="9576" w:type="dxa"/>
          </w:tcPr>
          <w:p w14:paraId="4C551AFB" w14:textId="77777777" w:rsidR="0017725B" w:rsidRDefault="00DE5176" w:rsidP="000E221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JUSTICE </w:t>
            </w:r>
            <w:r>
              <w:rPr>
                <w:b/>
                <w:u w:val="single"/>
              </w:rPr>
              <w:t>IMPACT</w:t>
            </w:r>
          </w:p>
          <w:p w14:paraId="77F8FCCD" w14:textId="77777777" w:rsidR="0017725B" w:rsidRDefault="0017725B" w:rsidP="000E2218">
            <w:pPr>
              <w:rPr>
                <w:b/>
                <w:u w:val="single"/>
              </w:rPr>
            </w:pPr>
          </w:p>
          <w:p w14:paraId="26073AB6" w14:textId="77777777" w:rsidR="002B0E8D" w:rsidRPr="002B0E8D" w:rsidRDefault="00DE5176" w:rsidP="000E221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</w:t>
            </w:r>
            <w:r>
              <w:t xml:space="preserve"> mandatory supervision.</w:t>
            </w:r>
          </w:p>
          <w:p w14:paraId="7E6423DE" w14:textId="77777777" w:rsidR="0017725B" w:rsidRPr="0017725B" w:rsidRDefault="0017725B" w:rsidP="000E2218">
            <w:pPr>
              <w:rPr>
                <w:b/>
                <w:u w:val="single"/>
              </w:rPr>
            </w:pPr>
          </w:p>
        </w:tc>
      </w:tr>
      <w:tr w:rsidR="006911A1" w14:paraId="46808ADF" w14:textId="77777777" w:rsidTr="00345119">
        <w:tc>
          <w:tcPr>
            <w:tcW w:w="9576" w:type="dxa"/>
          </w:tcPr>
          <w:p w14:paraId="1E76E3F2" w14:textId="77777777" w:rsidR="008423E4" w:rsidRPr="00A8133F" w:rsidRDefault="00DE5176" w:rsidP="000E221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2137701" w14:textId="77777777" w:rsidR="008423E4" w:rsidRDefault="008423E4" w:rsidP="000E2218"/>
          <w:p w14:paraId="4FC95520" w14:textId="77777777" w:rsidR="00C168E4" w:rsidRDefault="00DE5176" w:rsidP="000E221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C168E4">
              <w:t xml:space="preserve">Texas Board of Occupational Therapy Examiners </w:t>
            </w:r>
            <w:r>
              <w:t>in SECTION 1 of this bill.</w:t>
            </w:r>
          </w:p>
          <w:p w14:paraId="79D39ED0" w14:textId="77777777" w:rsidR="008423E4" w:rsidRPr="00E21FDC" w:rsidRDefault="008423E4" w:rsidP="000E2218">
            <w:pPr>
              <w:rPr>
                <w:b/>
              </w:rPr>
            </w:pPr>
          </w:p>
        </w:tc>
      </w:tr>
      <w:tr w:rsidR="006911A1" w14:paraId="05C43581" w14:textId="77777777" w:rsidTr="00345119">
        <w:tc>
          <w:tcPr>
            <w:tcW w:w="9576" w:type="dxa"/>
          </w:tcPr>
          <w:p w14:paraId="4C5C69D9" w14:textId="77777777" w:rsidR="008423E4" w:rsidRPr="00A8133F" w:rsidRDefault="00DE5176" w:rsidP="000E221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05585B3" w14:textId="77777777" w:rsidR="008423E4" w:rsidRDefault="008423E4" w:rsidP="000E2218"/>
          <w:p w14:paraId="3BF6CBAA" w14:textId="23DF6CED" w:rsidR="009C36CD" w:rsidRDefault="00DE5176" w:rsidP="000E221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1903 amends the </w:t>
            </w:r>
            <w:r w:rsidR="002B0E8D">
              <w:t xml:space="preserve">Occupations Code to enact and enter into the Occupational Therapy Licensure Compact </w:t>
            </w:r>
            <w:r w:rsidR="00850E3C">
              <w:t xml:space="preserve">with all other applicable jurisdictions </w:t>
            </w:r>
            <w:r w:rsidR="002B0E8D" w:rsidRPr="002B0E8D">
              <w:t>to facilitate interstate practice of occupational therapy with the goal of improving public access to occupational therapy services</w:t>
            </w:r>
            <w:r w:rsidR="002B0E8D">
              <w:t>. The bill sets out the compact's provisions, including with respect to the following:</w:t>
            </w:r>
          </w:p>
          <w:p w14:paraId="05F015F9" w14:textId="77777777" w:rsidR="002B0E8D" w:rsidRDefault="00DE5176" w:rsidP="000E221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individual state participation in the compact;</w:t>
            </w:r>
          </w:p>
          <w:p w14:paraId="6687A36F" w14:textId="5928EAB7" w:rsidR="002B0E8D" w:rsidRDefault="00DE5176" w:rsidP="000E221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manner in which an </w:t>
            </w:r>
            <w:r w:rsidRPr="002B0E8D">
              <w:t>individual who currently holds an</w:t>
            </w:r>
            <w:r>
              <w:t xml:space="preserve"> applicable</w:t>
            </w:r>
            <w:r w:rsidRPr="002B0E8D">
              <w:t xml:space="preserve"> authorization to practice as an occupational therapist </w:t>
            </w:r>
            <w:r w:rsidRPr="002B0E8D">
              <w:t>or as an occupational therapy assistant</w:t>
            </w:r>
            <w:r>
              <w:t xml:space="preserve"> may exercise privileges under the compact, including obtaining</w:t>
            </w:r>
            <w:r w:rsidR="00785482">
              <w:t xml:space="preserve"> a</w:t>
            </w:r>
            <w:r>
              <w:t xml:space="preserve"> </w:t>
            </w:r>
            <w:r w:rsidR="00785482">
              <w:t xml:space="preserve">license in </w:t>
            </w:r>
            <w:r>
              <w:t xml:space="preserve">a </w:t>
            </w:r>
            <w:r w:rsidR="002A223C">
              <w:t>new</w:t>
            </w:r>
            <w:r w:rsidR="00785482">
              <w:t xml:space="preserve"> home</w:t>
            </w:r>
            <w:r>
              <w:t xml:space="preserve"> state;</w:t>
            </w:r>
          </w:p>
          <w:p w14:paraId="59C22F96" w14:textId="77777777" w:rsidR="00DC55DC" w:rsidRDefault="00DE5176" w:rsidP="000E221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participation in the compact by active duty military personnel and their spouses;</w:t>
            </w:r>
          </w:p>
          <w:p w14:paraId="7C95B914" w14:textId="7B4C0EAE" w:rsidR="002B0E8D" w:rsidRDefault="00DE5176" w:rsidP="000E221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authority of member states to take adverse actions against </w:t>
            </w:r>
            <w:r w:rsidRPr="002B0E8D">
              <w:t>an occupational therapist or an occupational therapy assistant</w:t>
            </w:r>
            <w:r>
              <w:t>;</w:t>
            </w:r>
          </w:p>
          <w:p w14:paraId="16EA39B7" w14:textId="11C14FD1" w:rsidR="005352AD" w:rsidRDefault="00DE5176" w:rsidP="000E221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establishment of the Occupational Therapy Compact Commission as an instrumentality of member states, </w:t>
            </w:r>
            <w:r w:rsidRPr="005352AD">
              <w:t xml:space="preserve">the commission's </w:t>
            </w:r>
            <w:r w:rsidR="002A223C">
              <w:t xml:space="preserve">powers and </w:t>
            </w:r>
            <w:r w:rsidRPr="005352AD">
              <w:t xml:space="preserve">duties, and annual assessments levied </w:t>
            </w:r>
            <w:r w:rsidR="002A223C">
              <w:t>on</w:t>
            </w:r>
            <w:r w:rsidR="002A223C" w:rsidRPr="005352AD">
              <w:t xml:space="preserve"> </w:t>
            </w:r>
            <w:r w:rsidRPr="005352AD">
              <w:t>and collected from member states and fees imposed on other parties to fund the commission</w:t>
            </w:r>
            <w:r w:rsidR="00A363B4">
              <w:t>;</w:t>
            </w:r>
          </w:p>
          <w:p w14:paraId="32B4E84A" w14:textId="77777777" w:rsidR="00A363B4" w:rsidRDefault="00DE5176" w:rsidP="000E221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oversight, dispute resolution, and enforcement of compact provisions by applicable state governments and courts;</w:t>
            </w:r>
          </w:p>
          <w:p w14:paraId="61402B4F" w14:textId="77777777" w:rsidR="00A363B4" w:rsidRDefault="00DE5176" w:rsidP="000E221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con</w:t>
            </w:r>
            <w:r>
              <w:t>struction and severability of the compact's provisions, as well as the binding effect of the compact and other state laws; and</w:t>
            </w:r>
          </w:p>
          <w:p w14:paraId="75CA5A06" w14:textId="77777777" w:rsidR="00A363B4" w:rsidRDefault="00DE5176" w:rsidP="000E221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process for amending or withdrawing from the compact.</w:t>
            </w:r>
          </w:p>
          <w:p w14:paraId="6EECA0B2" w14:textId="4F19ADD1" w:rsidR="00A363B4" w:rsidRPr="009C36CD" w:rsidRDefault="00DE5176" w:rsidP="000E221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compact takes effect on the date on which the compact statute is en</w:t>
            </w:r>
            <w:r>
              <w:t xml:space="preserve">acted into law in the </w:t>
            </w:r>
            <w:r w:rsidR="00126B76">
              <w:t>10</w:t>
            </w:r>
            <w:r>
              <w:t xml:space="preserve">th member state. The bill designates the </w:t>
            </w:r>
            <w:r w:rsidRPr="00A363B4">
              <w:t>Texas Board of Occupational Therapy Examiners</w:t>
            </w:r>
            <w:r>
              <w:t xml:space="preserve"> as the administrator of the compact </w:t>
            </w:r>
            <w:r w:rsidR="00E833A0">
              <w:t xml:space="preserve">in Texas </w:t>
            </w:r>
            <w:r>
              <w:t>and authorizes the board to adopt rules necessary to implement the bill's provisions.</w:t>
            </w:r>
          </w:p>
          <w:p w14:paraId="06DDCB12" w14:textId="77777777" w:rsidR="008423E4" w:rsidRPr="00835628" w:rsidRDefault="008423E4" w:rsidP="000E2218">
            <w:pPr>
              <w:rPr>
                <w:b/>
              </w:rPr>
            </w:pPr>
          </w:p>
        </w:tc>
      </w:tr>
      <w:tr w:rsidR="006911A1" w14:paraId="23BAA920" w14:textId="77777777" w:rsidTr="00345119">
        <w:tc>
          <w:tcPr>
            <w:tcW w:w="9576" w:type="dxa"/>
          </w:tcPr>
          <w:p w14:paraId="53453FAC" w14:textId="77777777" w:rsidR="008423E4" w:rsidRPr="00A8133F" w:rsidRDefault="00DE5176" w:rsidP="000E221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</w:t>
            </w:r>
            <w:r w:rsidRPr="009C1E9A">
              <w:rPr>
                <w:b/>
                <w:u w:val="single"/>
              </w:rPr>
              <w:t>TE</w:t>
            </w:r>
            <w:r>
              <w:rPr>
                <w:b/>
              </w:rPr>
              <w:t xml:space="preserve"> </w:t>
            </w:r>
          </w:p>
          <w:p w14:paraId="22A890F6" w14:textId="77777777" w:rsidR="008423E4" w:rsidRDefault="008423E4" w:rsidP="000E2218"/>
          <w:p w14:paraId="37CE014A" w14:textId="77777777" w:rsidR="008423E4" w:rsidRPr="003624F2" w:rsidRDefault="00DE5176" w:rsidP="000E221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5143824" w14:textId="77777777" w:rsidR="008423E4" w:rsidRPr="00233FDB" w:rsidRDefault="008423E4" w:rsidP="000E2218">
            <w:pPr>
              <w:rPr>
                <w:b/>
              </w:rPr>
            </w:pPr>
          </w:p>
        </w:tc>
      </w:tr>
    </w:tbl>
    <w:p w14:paraId="4AF707C4" w14:textId="77777777" w:rsidR="008423E4" w:rsidRPr="00BE0E75" w:rsidRDefault="008423E4" w:rsidP="000E2218">
      <w:pPr>
        <w:jc w:val="both"/>
        <w:rPr>
          <w:rFonts w:ascii="Arial" w:hAnsi="Arial"/>
          <w:sz w:val="16"/>
          <w:szCs w:val="16"/>
        </w:rPr>
      </w:pPr>
    </w:p>
    <w:p w14:paraId="01F1CD90" w14:textId="77777777" w:rsidR="004108C3" w:rsidRPr="008423E4" w:rsidRDefault="004108C3" w:rsidP="000E2218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51584" w14:textId="77777777" w:rsidR="00000000" w:rsidRDefault="00DE5176">
      <w:r>
        <w:separator/>
      </w:r>
    </w:p>
  </w:endnote>
  <w:endnote w:type="continuationSeparator" w:id="0">
    <w:p w14:paraId="5E7E02DB" w14:textId="77777777" w:rsidR="00000000" w:rsidRDefault="00DE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A4C17" w14:textId="77777777" w:rsidR="009E46A9" w:rsidRDefault="009E46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911A1" w14:paraId="50C6440B" w14:textId="77777777" w:rsidTr="009C1E9A">
      <w:trPr>
        <w:cantSplit/>
      </w:trPr>
      <w:tc>
        <w:tcPr>
          <w:tcW w:w="0" w:type="pct"/>
        </w:tcPr>
        <w:p w14:paraId="53B8550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1A37CC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7F6F32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7DBDC1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8982B6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911A1" w14:paraId="43400D9A" w14:textId="77777777" w:rsidTr="009C1E9A">
      <w:trPr>
        <w:cantSplit/>
      </w:trPr>
      <w:tc>
        <w:tcPr>
          <w:tcW w:w="0" w:type="pct"/>
        </w:tcPr>
        <w:p w14:paraId="612D3F3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FDF56C2" w14:textId="62668A42" w:rsidR="00EC379B" w:rsidRPr="009C1E9A" w:rsidRDefault="00DE517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21508</w:t>
          </w:r>
        </w:p>
      </w:tc>
      <w:tc>
        <w:tcPr>
          <w:tcW w:w="2453" w:type="pct"/>
        </w:tcPr>
        <w:p w14:paraId="56101D47" w14:textId="1B20182B" w:rsidR="00EC379B" w:rsidRDefault="00DE517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D0924">
            <w:t>21.109.623</w:t>
          </w:r>
          <w:r>
            <w:fldChar w:fldCharType="end"/>
          </w:r>
        </w:p>
      </w:tc>
    </w:tr>
    <w:tr w:rsidR="006911A1" w14:paraId="15C35F48" w14:textId="77777777" w:rsidTr="009C1E9A">
      <w:trPr>
        <w:cantSplit/>
      </w:trPr>
      <w:tc>
        <w:tcPr>
          <w:tcW w:w="0" w:type="pct"/>
        </w:tcPr>
        <w:p w14:paraId="0B569A8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471D3E7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DDB0F9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7F3244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911A1" w14:paraId="04F91B8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32B1C6F" w14:textId="44798BFC" w:rsidR="00EC379B" w:rsidRDefault="00DE517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D0924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27EE888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3A120F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D2A5E" w14:textId="77777777" w:rsidR="009E46A9" w:rsidRDefault="009E4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BF53E" w14:textId="77777777" w:rsidR="00000000" w:rsidRDefault="00DE5176">
      <w:r>
        <w:separator/>
      </w:r>
    </w:p>
  </w:footnote>
  <w:footnote w:type="continuationSeparator" w:id="0">
    <w:p w14:paraId="694ADCFA" w14:textId="77777777" w:rsidR="00000000" w:rsidRDefault="00DE5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277F0" w14:textId="77777777" w:rsidR="009E46A9" w:rsidRDefault="009E4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67C8B" w14:textId="77777777" w:rsidR="009E46A9" w:rsidRDefault="009E46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D872C" w14:textId="77777777" w:rsidR="009E46A9" w:rsidRDefault="009E4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74C64"/>
    <w:multiLevelType w:val="hybridMultilevel"/>
    <w:tmpl w:val="AFAABCCC"/>
    <w:lvl w:ilvl="0" w:tplc="5AACE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CA8B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10F2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88F4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A30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4EEC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E87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F48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644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8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3753D"/>
    <w:rsid w:val="000400D5"/>
    <w:rsid w:val="00043B84"/>
    <w:rsid w:val="0004512B"/>
    <w:rsid w:val="000463F0"/>
    <w:rsid w:val="00046BDA"/>
    <w:rsid w:val="0004718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2218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3CF5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6B76"/>
    <w:rsid w:val="00127893"/>
    <w:rsid w:val="001312BB"/>
    <w:rsid w:val="00137B25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4A3A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2492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223C"/>
    <w:rsid w:val="002A48DF"/>
    <w:rsid w:val="002A5A84"/>
    <w:rsid w:val="002A6E6F"/>
    <w:rsid w:val="002A74E4"/>
    <w:rsid w:val="002A7CFE"/>
    <w:rsid w:val="002B0E8D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2EA5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199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76DFE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619F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52AD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18D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1A1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73C5"/>
    <w:rsid w:val="006D0924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57517"/>
    <w:rsid w:val="00764786"/>
    <w:rsid w:val="00766E12"/>
    <w:rsid w:val="0077098E"/>
    <w:rsid w:val="00771287"/>
    <w:rsid w:val="0077149E"/>
    <w:rsid w:val="00777518"/>
    <w:rsid w:val="0077779E"/>
    <w:rsid w:val="00780FB6"/>
    <w:rsid w:val="00785482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26F7"/>
    <w:rsid w:val="007C2D81"/>
    <w:rsid w:val="007C462E"/>
    <w:rsid w:val="007C496B"/>
    <w:rsid w:val="007C6803"/>
    <w:rsid w:val="007D1A6B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0E3C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5559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3294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486A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1F3B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D7E4E"/>
    <w:rsid w:val="009E13BF"/>
    <w:rsid w:val="009E3631"/>
    <w:rsid w:val="009E3EB9"/>
    <w:rsid w:val="009E46A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363B4"/>
    <w:rsid w:val="00A36832"/>
    <w:rsid w:val="00A41085"/>
    <w:rsid w:val="00A425FA"/>
    <w:rsid w:val="00A43960"/>
    <w:rsid w:val="00A46902"/>
    <w:rsid w:val="00A50CDB"/>
    <w:rsid w:val="00A51F3E"/>
    <w:rsid w:val="00A524C6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09F4"/>
    <w:rsid w:val="00B233BB"/>
    <w:rsid w:val="00B25612"/>
    <w:rsid w:val="00B26437"/>
    <w:rsid w:val="00B2678E"/>
    <w:rsid w:val="00B30647"/>
    <w:rsid w:val="00B31F0E"/>
    <w:rsid w:val="00B33A21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6FED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08B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594"/>
    <w:rsid w:val="00C0499B"/>
    <w:rsid w:val="00C05406"/>
    <w:rsid w:val="00C05CF0"/>
    <w:rsid w:val="00C06391"/>
    <w:rsid w:val="00C119AC"/>
    <w:rsid w:val="00C14EE6"/>
    <w:rsid w:val="00C151DA"/>
    <w:rsid w:val="00C152A1"/>
    <w:rsid w:val="00C168E4"/>
    <w:rsid w:val="00C16A7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2B80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089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55DC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5176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0D72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33A0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063A6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3B9A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31F3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9FC483-6DD6-4864-BEF9-61F1C91B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B0E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0E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0E8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0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0E8D"/>
    <w:rPr>
      <w:b/>
      <w:bCs/>
    </w:rPr>
  </w:style>
  <w:style w:type="character" w:styleId="Hyperlink">
    <w:name w:val="Hyperlink"/>
    <w:basedOn w:val="DefaultParagraphFont"/>
    <w:unhideWhenUsed/>
    <w:rsid w:val="00137B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2783</Characters>
  <Application>Microsoft Office Word</Application>
  <DocSecurity>4</DocSecurity>
  <Lines>68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HB01903 (Committee Report (Unamended))</vt:lpstr>
    </vt:vector>
  </TitlesOfParts>
  <Company>State of Texas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21508</dc:subject>
  <dc:creator>State of Texas</dc:creator>
  <dc:description>HB 1903 by Walle-(H)Public Health</dc:description>
  <cp:lastModifiedBy>Stacey Nicchio</cp:lastModifiedBy>
  <cp:revision>2</cp:revision>
  <cp:lastPrinted>2003-11-26T17:21:00Z</cp:lastPrinted>
  <dcterms:created xsi:type="dcterms:W3CDTF">2021-04-19T19:14:00Z</dcterms:created>
  <dcterms:modified xsi:type="dcterms:W3CDTF">2021-04-19T19:14:00Z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21.109.623</vt:lpwstr>
  </property>
</Properties>
</file>