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A80836" w14:paraId="4CBED778" w14:textId="77777777" w:rsidTr="00345119">
        <w:tc>
          <w:tcPr>
            <w:tcW w:w="9576" w:type="dxa"/>
            <w:noWrap/>
          </w:tcPr>
          <w:p w14:paraId="3CD83039" w14:textId="77777777" w:rsidR="008423E4" w:rsidRPr="0022177D" w:rsidRDefault="00341C3C" w:rsidP="00492960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505CEB7D" w14:textId="77777777" w:rsidR="008423E4" w:rsidRPr="0022177D" w:rsidRDefault="008423E4" w:rsidP="00492960">
      <w:pPr>
        <w:jc w:val="center"/>
      </w:pPr>
    </w:p>
    <w:p w14:paraId="17C2EC89" w14:textId="77777777" w:rsidR="008423E4" w:rsidRPr="00B31F0E" w:rsidRDefault="008423E4" w:rsidP="00492960"/>
    <w:p w14:paraId="2BF8FA3E" w14:textId="77777777" w:rsidR="008423E4" w:rsidRPr="00742794" w:rsidRDefault="008423E4" w:rsidP="00492960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A80836" w14:paraId="18D9BBF8" w14:textId="77777777" w:rsidTr="00345119">
        <w:tc>
          <w:tcPr>
            <w:tcW w:w="9576" w:type="dxa"/>
          </w:tcPr>
          <w:p w14:paraId="09A4F864" w14:textId="178ED2F8" w:rsidR="008423E4" w:rsidRPr="00861995" w:rsidRDefault="00341C3C" w:rsidP="00492960">
            <w:pPr>
              <w:jc w:val="right"/>
            </w:pPr>
            <w:r>
              <w:t>H.B. 1906</w:t>
            </w:r>
          </w:p>
        </w:tc>
      </w:tr>
      <w:tr w:rsidR="00A80836" w14:paraId="2A9228E5" w14:textId="77777777" w:rsidTr="00345119">
        <w:tc>
          <w:tcPr>
            <w:tcW w:w="9576" w:type="dxa"/>
          </w:tcPr>
          <w:p w14:paraId="740CCFF0" w14:textId="09B7DEE7" w:rsidR="008423E4" w:rsidRPr="00861995" w:rsidRDefault="00341C3C" w:rsidP="00492960">
            <w:pPr>
              <w:jc w:val="right"/>
            </w:pPr>
            <w:r>
              <w:t xml:space="preserve">By: </w:t>
            </w:r>
            <w:r w:rsidR="00F43669">
              <w:t>Herrero</w:t>
            </w:r>
          </w:p>
        </w:tc>
      </w:tr>
      <w:tr w:rsidR="00A80836" w14:paraId="23024373" w14:textId="77777777" w:rsidTr="00345119">
        <w:tc>
          <w:tcPr>
            <w:tcW w:w="9576" w:type="dxa"/>
          </w:tcPr>
          <w:p w14:paraId="443792A9" w14:textId="45999DB9" w:rsidR="008423E4" w:rsidRPr="00861995" w:rsidRDefault="00341C3C" w:rsidP="00492960">
            <w:pPr>
              <w:jc w:val="right"/>
            </w:pPr>
            <w:r>
              <w:t>County Affairs</w:t>
            </w:r>
          </w:p>
        </w:tc>
      </w:tr>
      <w:tr w:rsidR="00A80836" w14:paraId="0DF2A32A" w14:textId="77777777" w:rsidTr="00345119">
        <w:tc>
          <w:tcPr>
            <w:tcW w:w="9576" w:type="dxa"/>
          </w:tcPr>
          <w:p w14:paraId="28E25564" w14:textId="1E4BBDE2" w:rsidR="008423E4" w:rsidRDefault="00341C3C" w:rsidP="00492960">
            <w:pPr>
              <w:jc w:val="right"/>
            </w:pPr>
            <w:r>
              <w:t>Committee Report (Unamended)</w:t>
            </w:r>
          </w:p>
        </w:tc>
      </w:tr>
    </w:tbl>
    <w:p w14:paraId="306A40D3" w14:textId="77777777" w:rsidR="008423E4" w:rsidRDefault="008423E4" w:rsidP="00492960">
      <w:pPr>
        <w:tabs>
          <w:tab w:val="right" w:pos="9360"/>
        </w:tabs>
      </w:pPr>
    </w:p>
    <w:p w14:paraId="7745ABD3" w14:textId="77777777" w:rsidR="008423E4" w:rsidRDefault="008423E4" w:rsidP="00492960"/>
    <w:p w14:paraId="46DDC14D" w14:textId="77777777" w:rsidR="008423E4" w:rsidRDefault="008423E4" w:rsidP="00492960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A80836" w14:paraId="7EEF49AF" w14:textId="77777777" w:rsidTr="00345119">
        <w:tc>
          <w:tcPr>
            <w:tcW w:w="9576" w:type="dxa"/>
          </w:tcPr>
          <w:p w14:paraId="444D865B" w14:textId="77777777" w:rsidR="008423E4" w:rsidRPr="00A8133F" w:rsidRDefault="00341C3C" w:rsidP="00492960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6D2833A9" w14:textId="77777777" w:rsidR="008423E4" w:rsidRDefault="008423E4" w:rsidP="00492960"/>
          <w:p w14:paraId="1550397C" w14:textId="20EC0C30" w:rsidR="00E230F5" w:rsidRDefault="00341C3C" w:rsidP="00492960">
            <w:pPr>
              <w:pStyle w:val="Header"/>
              <w:jc w:val="both"/>
            </w:pPr>
            <w:r>
              <w:t>Evidence has shown that victims of domestic violence face a great risk of harm when leaving or</w:t>
            </w:r>
            <w:r w:rsidR="008B2477">
              <w:t xml:space="preserve"> </w:t>
            </w:r>
            <w:r>
              <w:t xml:space="preserve">separating from a batterer. </w:t>
            </w:r>
            <w:r w:rsidR="008B2477">
              <w:t>T</w:t>
            </w:r>
            <w:r>
              <w:t xml:space="preserve">he use of GPS </w:t>
            </w:r>
            <w:r>
              <w:t>technology can help keep</w:t>
            </w:r>
            <w:r w:rsidR="008B2477">
              <w:t xml:space="preserve"> </w:t>
            </w:r>
            <w:r>
              <w:t>survivors safe while the defendant is free on bond. Costs associated with GPS monitoring are paid</w:t>
            </w:r>
            <w:r w:rsidR="008B2477">
              <w:t xml:space="preserve"> </w:t>
            </w:r>
            <w:r>
              <w:t>for by the defendant, unless the defendant is indigent</w:t>
            </w:r>
            <w:r w:rsidR="008B2477">
              <w:t>, in which case the</w:t>
            </w:r>
            <w:r>
              <w:t xml:space="preserve"> costs fall upon</w:t>
            </w:r>
            <w:r w:rsidR="008B2477">
              <w:t xml:space="preserve"> </w:t>
            </w:r>
            <w:r>
              <w:t xml:space="preserve">the </w:t>
            </w:r>
            <w:r w:rsidR="008B2477">
              <w:t xml:space="preserve">applicable </w:t>
            </w:r>
            <w:r>
              <w:t>county. Providing a way to a</w:t>
            </w:r>
            <w:r>
              <w:t>lleviate the costs of GPS monitoring to counties would encourage</w:t>
            </w:r>
            <w:r w:rsidR="008B2477">
              <w:t xml:space="preserve"> </w:t>
            </w:r>
            <w:r>
              <w:t xml:space="preserve">the use of this technology to help deter future violence. </w:t>
            </w:r>
            <w:r w:rsidR="008B2477">
              <w:t xml:space="preserve">H.B. </w:t>
            </w:r>
            <w:r>
              <w:t>1906 seeks to address this issue</w:t>
            </w:r>
            <w:r w:rsidR="008B2477">
              <w:t xml:space="preserve"> by creating</w:t>
            </w:r>
            <w:r>
              <w:t xml:space="preserve"> a grant program to reimburse counties for the costs incurred as a result of </w:t>
            </w:r>
            <w:r w:rsidR="008B2477">
              <w:t xml:space="preserve">GPS </w:t>
            </w:r>
            <w:r>
              <w:t>mon</w:t>
            </w:r>
            <w:r>
              <w:t>itoring in cases involving family violence.</w:t>
            </w:r>
          </w:p>
          <w:p w14:paraId="17D26EBF" w14:textId="0FF3C16D" w:rsidR="008423E4" w:rsidRPr="00E26B13" w:rsidRDefault="00341C3C" w:rsidP="00492960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  <w:r>
              <w:t xml:space="preserve"> </w:t>
            </w:r>
          </w:p>
        </w:tc>
      </w:tr>
      <w:tr w:rsidR="00A80836" w14:paraId="5D4BE5C6" w14:textId="77777777" w:rsidTr="00345119">
        <w:tc>
          <w:tcPr>
            <w:tcW w:w="9576" w:type="dxa"/>
          </w:tcPr>
          <w:p w14:paraId="3CEAB689" w14:textId="77777777" w:rsidR="0017725B" w:rsidRDefault="00341C3C" w:rsidP="0049296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13697845" w14:textId="77777777" w:rsidR="0017725B" w:rsidRDefault="0017725B" w:rsidP="00492960">
            <w:pPr>
              <w:rPr>
                <w:b/>
                <w:u w:val="single"/>
              </w:rPr>
            </w:pPr>
          </w:p>
          <w:p w14:paraId="5037A204" w14:textId="77777777" w:rsidR="00BB2456" w:rsidRPr="00BB2456" w:rsidRDefault="00341C3C" w:rsidP="00492960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</w:t>
            </w:r>
            <w:r>
              <w:t>he eligibility of a person for community supervision, parole, or mandatory supervision.</w:t>
            </w:r>
          </w:p>
          <w:p w14:paraId="014F6114" w14:textId="77777777" w:rsidR="0017725B" w:rsidRPr="0017725B" w:rsidRDefault="0017725B" w:rsidP="00492960">
            <w:pPr>
              <w:rPr>
                <w:b/>
                <w:u w:val="single"/>
              </w:rPr>
            </w:pPr>
          </w:p>
        </w:tc>
      </w:tr>
      <w:tr w:rsidR="00A80836" w14:paraId="0D579C60" w14:textId="77777777" w:rsidTr="00345119">
        <w:tc>
          <w:tcPr>
            <w:tcW w:w="9576" w:type="dxa"/>
          </w:tcPr>
          <w:p w14:paraId="43BACEE6" w14:textId="77777777" w:rsidR="008423E4" w:rsidRPr="00A8133F" w:rsidRDefault="00341C3C" w:rsidP="00492960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70A0170F" w14:textId="77777777" w:rsidR="008423E4" w:rsidRDefault="008423E4" w:rsidP="00492960"/>
          <w:p w14:paraId="48A17B8E" w14:textId="77777777" w:rsidR="00BB2456" w:rsidRDefault="00341C3C" w:rsidP="0049296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state officer, department, </w:t>
            </w:r>
            <w:r>
              <w:t>agency, or institution.</w:t>
            </w:r>
          </w:p>
          <w:p w14:paraId="760DE002" w14:textId="77777777" w:rsidR="008423E4" w:rsidRPr="00E21FDC" w:rsidRDefault="008423E4" w:rsidP="00492960">
            <w:pPr>
              <w:rPr>
                <w:b/>
              </w:rPr>
            </w:pPr>
          </w:p>
        </w:tc>
      </w:tr>
      <w:tr w:rsidR="00A80836" w14:paraId="7BD0AC89" w14:textId="77777777" w:rsidTr="00345119">
        <w:tc>
          <w:tcPr>
            <w:tcW w:w="9576" w:type="dxa"/>
          </w:tcPr>
          <w:p w14:paraId="7516B4DC" w14:textId="77777777" w:rsidR="008423E4" w:rsidRPr="00A8133F" w:rsidRDefault="00341C3C" w:rsidP="00492960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03255FA6" w14:textId="77777777" w:rsidR="008423E4" w:rsidRDefault="008423E4" w:rsidP="00492960"/>
          <w:p w14:paraId="59241798" w14:textId="7AC8DC44" w:rsidR="00006FF5" w:rsidRDefault="00341C3C" w:rsidP="00492960">
            <w:pPr>
              <w:pStyle w:val="Header"/>
              <w:jc w:val="both"/>
            </w:pPr>
            <w:r>
              <w:t>H.B. 1906 amends the Government Code to require the criminal justice division</w:t>
            </w:r>
            <w:r w:rsidR="00CF4AF2">
              <w:t xml:space="preserve"> of the governor's office</w:t>
            </w:r>
            <w:r>
              <w:t xml:space="preserve"> to establish </w:t>
            </w:r>
            <w:r w:rsidRPr="00CD1B7F">
              <w:t xml:space="preserve">and administer a grant program to reimburse counties for all or part of the costs incurred by counties as a result of monitoring defendants and victims </w:t>
            </w:r>
            <w:r w:rsidR="00580D2F" w:rsidRPr="00CD1B7F">
              <w:t xml:space="preserve">in cases involving family violence </w:t>
            </w:r>
            <w:r w:rsidRPr="00CD1B7F">
              <w:t>who participate in a global positioning monitoring system under</w:t>
            </w:r>
            <w:r w:rsidR="00F26893">
              <w:t xml:space="preserve"> </w:t>
            </w:r>
            <w:r w:rsidR="0029742A">
              <w:t>a</w:t>
            </w:r>
            <w:r w:rsidR="00CF4AF2">
              <w:t xml:space="preserve"> magistrate's</w:t>
            </w:r>
            <w:r>
              <w:t xml:space="preserve"> order for emergency protection </w:t>
            </w:r>
            <w:r w:rsidR="00F26893">
              <w:t xml:space="preserve">or a condition for release on bond </w:t>
            </w:r>
            <w:r>
              <w:t>after an arrest for an offense involving family violence</w:t>
            </w:r>
            <w:r w:rsidRPr="00CD1B7F">
              <w:t>.</w:t>
            </w:r>
            <w:r>
              <w:t xml:space="preserve"> </w:t>
            </w:r>
            <w:r w:rsidR="00F0314D">
              <w:t>The bill requires the criminal justice division to establish</w:t>
            </w:r>
            <w:r>
              <w:t xml:space="preserve"> the following:</w:t>
            </w:r>
            <w:r w:rsidR="00F0314D">
              <w:t xml:space="preserve"> </w:t>
            </w:r>
          </w:p>
          <w:p w14:paraId="52D2F87C" w14:textId="44A8B480" w:rsidR="00006FF5" w:rsidRDefault="00341C3C" w:rsidP="00492960">
            <w:pPr>
              <w:pStyle w:val="Header"/>
              <w:numPr>
                <w:ilvl w:val="0"/>
                <w:numId w:val="1"/>
              </w:numPr>
              <w:jc w:val="both"/>
            </w:pPr>
            <w:r>
              <w:t>additional eligibility criteria for grant app</w:t>
            </w:r>
            <w:r>
              <w:t xml:space="preserve">licants; </w:t>
            </w:r>
          </w:p>
          <w:p w14:paraId="05FA52AF" w14:textId="17216DEA" w:rsidR="00006FF5" w:rsidRDefault="00341C3C" w:rsidP="00492960">
            <w:pPr>
              <w:pStyle w:val="Header"/>
              <w:numPr>
                <w:ilvl w:val="0"/>
                <w:numId w:val="1"/>
              </w:numPr>
              <w:jc w:val="both"/>
            </w:pPr>
            <w:r>
              <w:t xml:space="preserve">grant application procedures; </w:t>
            </w:r>
          </w:p>
          <w:p w14:paraId="784AAE6E" w14:textId="7882748F" w:rsidR="00006FF5" w:rsidRDefault="00341C3C" w:rsidP="00492960">
            <w:pPr>
              <w:pStyle w:val="Header"/>
              <w:numPr>
                <w:ilvl w:val="0"/>
                <w:numId w:val="1"/>
              </w:numPr>
              <w:jc w:val="both"/>
            </w:pPr>
            <w:r>
              <w:t xml:space="preserve">guidelines relating to grant amounts; </w:t>
            </w:r>
          </w:p>
          <w:p w14:paraId="0DC44F84" w14:textId="3FBE87E3" w:rsidR="00006FF5" w:rsidRDefault="00341C3C" w:rsidP="00492960">
            <w:pPr>
              <w:pStyle w:val="Header"/>
              <w:numPr>
                <w:ilvl w:val="0"/>
                <w:numId w:val="1"/>
              </w:numPr>
              <w:jc w:val="both"/>
            </w:pPr>
            <w:r>
              <w:t>procedures for ev</w:t>
            </w:r>
            <w:r w:rsidR="00F26893">
              <w:t>aluating grant applications</w:t>
            </w:r>
            <w:r>
              <w:t>;</w:t>
            </w:r>
            <w:r w:rsidR="00F26893">
              <w:t xml:space="preserve"> and</w:t>
            </w:r>
            <w:r>
              <w:t xml:space="preserve"> </w:t>
            </w:r>
          </w:p>
          <w:p w14:paraId="43686180" w14:textId="77777777" w:rsidR="00BE2530" w:rsidRDefault="00341C3C" w:rsidP="00492960">
            <w:pPr>
              <w:pStyle w:val="Header"/>
              <w:numPr>
                <w:ilvl w:val="0"/>
                <w:numId w:val="1"/>
              </w:numPr>
              <w:jc w:val="both"/>
            </w:pPr>
            <w:r>
              <w:t>procedures fo</w:t>
            </w:r>
            <w:r w:rsidR="00F26893">
              <w:t xml:space="preserve">r monitoring the use of a grant </w:t>
            </w:r>
            <w:r>
              <w:t xml:space="preserve">and ensuring compliance with any conditions of a grant. </w:t>
            </w:r>
          </w:p>
          <w:p w14:paraId="0C3087CF" w14:textId="77777777" w:rsidR="00BE2530" w:rsidRDefault="00BE2530" w:rsidP="00492960">
            <w:pPr>
              <w:pStyle w:val="Header"/>
              <w:jc w:val="both"/>
            </w:pPr>
          </w:p>
          <w:p w14:paraId="4BD3235E" w14:textId="6AE31011" w:rsidR="008423E4" w:rsidRDefault="00341C3C" w:rsidP="00492960">
            <w:pPr>
              <w:pStyle w:val="Header"/>
              <w:jc w:val="both"/>
            </w:pPr>
            <w:r>
              <w:t>H.B. 1906</w:t>
            </w:r>
            <w:r w:rsidR="00D3678F">
              <w:t xml:space="preserve"> restricts the use of funds by a grant recipient to monitoring conducted for the purpose of restoring a measure of security and safety for a </w:t>
            </w:r>
            <w:r w:rsidR="002B5B1F">
              <w:t xml:space="preserve">family violence </w:t>
            </w:r>
            <w:r w:rsidR="00D3678F">
              <w:t xml:space="preserve">victim. </w:t>
            </w:r>
            <w:r w:rsidR="00F0314D">
              <w:t xml:space="preserve">The bill requires the criminal justice division to include in </w:t>
            </w:r>
            <w:r w:rsidR="000A756A">
              <w:t>its</w:t>
            </w:r>
            <w:r w:rsidR="00F0314D">
              <w:t xml:space="preserve"> biennial report </w:t>
            </w:r>
            <w:r w:rsidR="00BB2456">
              <w:t xml:space="preserve">to the legislature </w:t>
            </w:r>
            <w:r w:rsidR="00D3678F">
              <w:t>a detailed reporting of the</w:t>
            </w:r>
            <w:r>
              <w:t xml:space="preserve"> grant program's</w:t>
            </w:r>
            <w:r w:rsidR="00D3678F">
              <w:t xml:space="preserve"> results and performance</w:t>
            </w:r>
            <w:r w:rsidR="00BB2456">
              <w:t xml:space="preserve">. The bill authorizes the criminal justice division to use any revenue available for purposes of the </w:t>
            </w:r>
            <w:r w:rsidR="00FD645E">
              <w:t>grant program</w:t>
            </w:r>
            <w:r w:rsidR="00BB2456">
              <w:t>.</w:t>
            </w:r>
          </w:p>
          <w:p w14:paraId="04DE6465" w14:textId="77777777" w:rsidR="008423E4" w:rsidRDefault="008423E4" w:rsidP="00492960">
            <w:pPr>
              <w:rPr>
                <w:b/>
              </w:rPr>
            </w:pPr>
          </w:p>
          <w:p w14:paraId="7E00B29A" w14:textId="028D6167" w:rsidR="00492960" w:rsidRPr="00835628" w:rsidRDefault="00492960" w:rsidP="00492960">
            <w:pPr>
              <w:rPr>
                <w:b/>
              </w:rPr>
            </w:pPr>
          </w:p>
        </w:tc>
      </w:tr>
      <w:tr w:rsidR="00A80836" w14:paraId="3A80CB60" w14:textId="77777777" w:rsidTr="00345119">
        <w:tc>
          <w:tcPr>
            <w:tcW w:w="9576" w:type="dxa"/>
          </w:tcPr>
          <w:p w14:paraId="0F7807DF" w14:textId="77777777" w:rsidR="008423E4" w:rsidRPr="00A8133F" w:rsidRDefault="00341C3C" w:rsidP="00492960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0AD2B27C" w14:textId="77777777" w:rsidR="008423E4" w:rsidRDefault="008423E4" w:rsidP="00492960"/>
          <w:p w14:paraId="5015E290" w14:textId="529CB064" w:rsidR="008423E4" w:rsidRPr="003624F2" w:rsidRDefault="00341C3C" w:rsidP="0049296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On passage, or, if the bill does not receive the </w:t>
            </w:r>
            <w:r>
              <w:t>necessary vote, September 1, 20</w:t>
            </w:r>
            <w:r w:rsidR="00006FF5">
              <w:t>21</w:t>
            </w:r>
            <w:r>
              <w:t>.</w:t>
            </w:r>
          </w:p>
          <w:p w14:paraId="72A18BE5" w14:textId="77777777" w:rsidR="008423E4" w:rsidRPr="00233FDB" w:rsidRDefault="008423E4" w:rsidP="00492960">
            <w:pPr>
              <w:rPr>
                <w:b/>
              </w:rPr>
            </w:pPr>
          </w:p>
        </w:tc>
      </w:tr>
    </w:tbl>
    <w:p w14:paraId="7A06ED06" w14:textId="77777777" w:rsidR="008423E4" w:rsidRPr="00BE0E75" w:rsidRDefault="008423E4" w:rsidP="00492960">
      <w:pPr>
        <w:jc w:val="both"/>
        <w:rPr>
          <w:rFonts w:ascii="Arial" w:hAnsi="Arial"/>
          <w:sz w:val="16"/>
          <w:szCs w:val="16"/>
        </w:rPr>
      </w:pPr>
    </w:p>
    <w:p w14:paraId="76C0067F" w14:textId="77777777" w:rsidR="004108C3" w:rsidRPr="008423E4" w:rsidRDefault="004108C3" w:rsidP="00492960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D0BE67" w14:textId="77777777" w:rsidR="00000000" w:rsidRDefault="00341C3C">
      <w:r>
        <w:separator/>
      </w:r>
    </w:p>
  </w:endnote>
  <w:endnote w:type="continuationSeparator" w:id="0">
    <w:p w14:paraId="0F385DA0" w14:textId="77777777" w:rsidR="00000000" w:rsidRDefault="00341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272F1E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A80836" w14:paraId="510D1DFC" w14:textId="77777777" w:rsidTr="009C1E9A">
      <w:trPr>
        <w:cantSplit/>
      </w:trPr>
      <w:tc>
        <w:tcPr>
          <w:tcW w:w="0" w:type="pct"/>
        </w:tcPr>
        <w:p w14:paraId="6459D8BE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65DCD86C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64679A8C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75A0DB9A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37158E9E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80836" w14:paraId="53380222" w14:textId="77777777" w:rsidTr="009C1E9A">
      <w:trPr>
        <w:cantSplit/>
      </w:trPr>
      <w:tc>
        <w:tcPr>
          <w:tcW w:w="0" w:type="pct"/>
        </w:tcPr>
        <w:p w14:paraId="7F443D89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77F9ADAC" w14:textId="5D939CF2" w:rsidR="00EC379B" w:rsidRPr="009C1E9A" w:rsidRDefault="00341C3C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18394</w:t>
          </w:r>
        </w:p>
      </w:tc>
      <w:tc>
        <w:tcPr>
          <w:tcW w:w="2453" w:type="pct"/>
        </w:tcPr>
        <w:p w14:paraId="408897E5" w14:textId="538288A9" w:rsidR="00EC379B" w:rsidRDefault="00341C3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6E1C6B">
            <w:t>21.96.511</w:t>
          </w:r>
          <w:r>
            <w:fldChar w:fldCharType="end"/>
          </w:r>
        </w:p>
      </w:tc>
    </w:tr>
    <w:tr w:rsidR="00A80836" w14:paraId="7951D346" w14:textId="77777777" w:rsidTr="009C1E9A">
      <w:trPr>
        <w:cantSplit/>
      </w:trPr>
      <w:tc>
        <w:tcPr>
          <w:tcW w:w="0" w:type="pct"/>
        </w:tcPr>
        <w:p w14:paraId="26B6B94E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4AEFAED7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68134F36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47D2B40B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80836" w14:paraId="274981D7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532316FF" w14:textId="6526B29A" w:rsidR="00EC379B" w:rsidRDefault="00341C3C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492960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04360424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4A06E7C0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0FFCD8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0FDC2C" w14:textId="77777777" w:rsidR="00000000" w:rsidRDefault="00341C3C">
      <w:r>
        <w:separator/>
      </w:r>
    </w:p>
  </w:footnote>
  <w:footnote w:type="continuationSeparator" w:id="0">
    <w:p w14:paraId="7EFF4EE0" w14:textId="77777777" w:rsidR="00000000" w:rsidRDefault="00341C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3E3472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6D5535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D51D61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704DD"/>
    <w:multiLevelType w:val="hybridMultilevel"/>
    <w:tmpl w:val="71C89A28"/>
    <w:lvl w:ilvl="0" w:tplc="C4C0AB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1627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102F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7C80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809F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534B9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7063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F2FE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1DE521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B7F"/>
    <w:rsid w:val="00000A70"/>
    <w:rsid w:val="00001969"/>
    <w:rsid w:val="000032B8"/>
    <w:rsid w:val="00003B06"/>
    <w:rsid w:val="000054B9"/>
    <w:rsid w:val="00006FF5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025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A756A"/>
    <w:rsid w:val="000B1486"/>
    <w:rsid w:val="000B3E61"/>
    <w:rsid w:val="000B54AF"/>
    <w:rsid w:val="000B6090"/>
    <w:rsid w:val="000B6FEE"/>
    <w:rsid w:val="000C12C4"/>
    <w:rsid w:val="000C242F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7C5"/>
    <w:rsid w:val="00127893"/>
    <w:rsid w:val="001312BB"/>
    <w:rsid w:val="00137D90"/>
    <w:rsid w:val="00141FB6"/>
    <w:rsid w:val="00142F8E"/>
    <w:rsid w:val="00143C8B"/>
    <w:rsid w:val="00145249"/>
    <w:rsid w:val="0014560E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29BB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245D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9742A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1F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48FB"/>
    <w:rsid w:val="0031741B"/>
    <w:rsid w:val="00320881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1C3C"/>
    <w:rsid w:val="003427C9"/>
    <w:rsid w:val="0034378A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27522"/>
    <w:rsid w:val="0043190E"/>
    <w:rsid w:val="004324E9"/>
    <w:rsid w:val="004350F3"/>
    <w:rsid w:val="00436980"/>
    <w:rsid w:val="00441016"/>
    <w:rsid w:val="0044186A"/>
    <w:rsid w:val="00441F2F"/>
    <w:rsid w:val="0044228B"/>
    <w:rsid w:val="00447018"/>
    <w:rsid w:val="00450561"/>
    <w:rsid w:val="00450A40"/>
    <w:rsid w:val="00451D7C"/>
    <w:rsid w:val="00452FC3"/>
    <w:rsid w:val="0045415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960"/>
    <w:rsid w:val="00492A6D"/>
    <w:rsid w:val="00494303"/>
    <w:rsid w:val="0049682B"/>
    <w:rsid w:val="004A03F7"/>
    <w:rsid w:val="004A081C"/>
    <w:rsid w:val="004A123F"/>
    <w:rsid w:val="004A2172"/>
    <w:rsid w:val="004A56AA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2B25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3B0"/>
    <w:rsid w:val="005304B2"/>
    <w:rsid w:val="005336BD"/>
    <w:rsid w:val="00534A49"/>
    <w:rsid w:val="005363BB"/>
    <w:rsid w:val="0054082F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09D"/>
    <w:rsid w:val="005636BD"/>
    <w:rsid w:val="005666D5"/>
    <w:rsid w:val="005669A7"/>
    <w:rsid w:val="00573401"/>
    <w:rsid w:val="00576714"/>
    <w:rsid w:val="0057685A"/>
    <w:rsid w:val="00580D2F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4862"/>
    <w:rsid w:val="005F5679"/>
    <w:rsid w:val="005F5FDF"/>
    <w:rsid w:val="005F6960"/>
    <w:rsid w:val="005F7000"/>
    <w:rsid w:val="005F7AAA"/>
    <w:rsid w:val="00600BAA"/>
    <w:rsid w:val="006012DA"/>
    <w:rsid w:val="0060301D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649FD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6B"/>
    <w:rsid w:val="006E1CFB"/>
    <w:rsid w:val="006E1F94"/>
    <w:rsid w:val="006E26C1"/>
    <w:rsid w:val="006E30A8"/>
    <w:rsid w:val="006E45B0"/>
    <w:rsid w:val="006E5692"/>
    <w:rsid w:val="006F365D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C7E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224C"/>
    <w:rsid w:val="0079487D"/>
    <w:rsid w:val="00796567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2379"/>
    <w:rsid w:val="007E33B6"/>
    <w:rsid w:val="007E59E8"/>
    <w:rsid w:val="007F3861"/>
    <w:rsid w:val="007F4162"/>
    <w:rsid w:val="007F5441"/>
    <w:rsid w:val="007F5D8F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678BA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A04FA"/>
    <w:rsid w:val="008A3188"/>
    <w:rsid w:val="008A3FDF"/>
    <w:rsid w:val="008A6418"/>
    <w:rsid w:val="008B05D8"/>
    <w:rsid w:val="008B0B3D"/>
    <w:rsid w:val="008B2477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4238"/>
    <w:rsid w:val="00A46902"/>
    <w:rsid w:val="00A46906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0836"/>
    <w:rsid w:val="00A8133F"/>
    <w:rsid w:val="00A82CB4"/>
    <w:rsid w:val="00A83468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C6F47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1369"/>
    <w:rsid w:val="00B233BB"/>
    <w:rsid w:val="00B25612"/>
    <w:rsid w:val="00B26437"/>
    <w:rsid w:val="00B2678E"/>
    <w:rsid w:val="00B30647"/>
    <w:rsid w:val="00B31F0E"/>
    <w:rsid w:val="00B34F25"/>
    <w:rsid w:val="00B37361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2456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E75"/>
    <w:rsid w:val="00BE1789"/>
    <w:rsid w:val="00BE2530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BF689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1B5A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257B"/>
    <w:rsid w:val="00CC7131"/>
    <w:rsid w:val="00CC7B9E"/>
    <w:rsid w:val="00CD06CA"/>
    <w:rsid w:val="00CD076A"/>
    <w:rsid w:val="00CD180C"/>
    <w:rsid w:val="00CD1B7F"/>
    <w:rsid w:val="00CD1BA6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AF2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335"/>
    <w:rsid w:val="00D35728"/>
    <w:rsid w:val="00D3678F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0413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A6D41"/>
    <w:rsid w:val="00DB311F"/>
    <w:rsid w:val="00DB53C6"/>
    <w:rsid w:val="00DB59E3"/>
    <w:rsid w:val="00DB6CB6"/>
    <w:rsid w:val="00DB758F"/>
    <w:rsid w:val="00DC1F1B"/>
    <w:rsid w:val="00DC3D8F"/>
    <w:rsid w:val="00DC41D5"/>
    <w:rsid w:val="00DC42E8"/>
    <w:rsid w:val="00DC6DBB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30F5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7D5"/>
    <w:rsid w:val="00E93DEF"/>
    <w:rsid w:val="00E947B1"/>
    <w:rsid w:val="00E96852"/>
    <w:rsid w:val="00EA16AC"/>
    <w:rsid w:val="00EA385A"/>
    <w:rsid w:val="00EA3931"/>
    <w:rsid w:val="00EA658E"/>
    <w:rsid w:val="00EA7A88"/>
    <w:rsid w:val="00EB027B"/>
    <w:rsid w:val="00EB27F2"/>
    <w:rsid w:val="00EB3928"/>
    <w:rsid w:val="00EB5373"/>
    <w:rsid w:val="00EC02A2"/>
    <w:rsid w:val="00EC1E60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14D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6893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3669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1925"/>
    <w:rsid w:val="00FA32FC"/>
    <w:rsid w:val="00FA59FD"/>
    <w:rsid w:val="00FA5D8C"/>
    <w:rsid w:val="00FA6403"/>
    <w:rsid w:val="00FA73CB"/>
    <w:rsid w:val="00FB16CD"/>
    <w:rsid w:val="00FB73AE"/>
    <w:rsid w:val="00FC5388"/>
    <w:rsid w:val="00FC726C"/>
    <w:rsid w:val="00FD1B4B"/>
    <w:rsid w:val="00FD1B94"/>
    <w:rsid w:val="00FD645E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752B81D-B1C8-44FF-87A8-134CF15E3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BB245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B24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B245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B24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B2456"/>
    <w:rPr>
      <w:b/>
      <w:bCs/>
    </w:rPr>
  </w:style>
  <w:style w:type="paragraph" w:styleId="Revision">
    <w:name w:val="Revision"/>
    <w:hidden/>
    <w:uiPriority w:val="99"/>
    <w:semiHidden/>
    <w:rsid w:val="00BB2456"/>
    <w:rPr>
      <w:sz w:val="24"/>
      <w:szCs w:val="24"/>
    </w:rPr>
  </w:style>
  <w:style w:type="character" w:styleId="Hyperlink">
    <w:name w:val="Hyperlink"/>
    <w:basedOn w:val="DefaultParagraphFont"/>
    <w:unhideWhenUsed/>
    <w:rsid w:val="00CF4A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422</Words>
  <Characters>2280</Characters>
  <Application>Microsoft Office Word</Application>
  <DocSecurity>4</DocSecurity>
  <Lines>61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HB01906 (Committee Report (Unamended))</vt:lpstr>
    </vt:vector>
  </TitlesOfParts>
  <Company>State of Texas</Company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18394</dc:subject>
  <dc:creator>State of Texas</dc:creator>
  <dc:description>HB 1906 by Herrero-(H)County Affairs</dc:description>
  <cp:lastModifiedBy>Stacey Nicchio</cp:lastModifiedBy>
  <cp:revision>2</cp:revision>
  <cp:lastPrinted>2003-11-26T17:21:00Z</cp:lastPrinted>
  <dcterms:created xsi:type="dcterms:W3CDTF">2021-04-12T17:17:00Z</dcterms:created>
  <dcterms:modified xsi:type="dcterms:W3CDTF">2021-04-12T17:17:00Z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21.96.511</vt:lpwstr>
  </property>
</Properties>
</file>