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A59EF" w14:paraId="30D7A7B5" w14:textId="77777777" w:rsidTr="00345119">
        <w:tc>
          <w:tcPr>
            <w:tcW w:w="9576" w:type="dxa"/>
            <w:noWrap/>
          </w:tcPr>
          <w:p w14:paraId="45503395" w14:textId="77777777" w:rsidR="008423E4" w:rsidRPr="0022177D" w:rsidRDefault="001A0647" w:rsidP="004C4D0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C4996A8" w14:textId="77777777" w:rsidR="008423E4" w:rsidRPr="0022177D" w:rsidRDefault="008423E4" w:rsidP="004C4D01">
      <w:pPr>
        <w:jc w:val="center"/>
      </w:pPr>
    </w:p>
    <w:p w14:paraId="0E2584F3" w14:textId="77777777" w:rsidR="008423E4" w:rsidRPr="00B31F0E" w:rsidRDefault="008423E4" w:rsidP="004C4D01"/>
    <w:p w14:paraId="506A108E" w14:textId="77777777" w:rsidR="008423E4" w:rsidRPr="00742794" w:rsidRDefault="008423E4" w:rsidP="004C4D0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59EF" w14:paraId="67D05C28" w14:textId="77777777" w:rsidTr="00345119">
        <w:tc>
          <w:tcPr>
            <w:tcW w:w="9576" w:type="dxa"/>
          </w:tcPr>
          <w:p w14:paraId="1009ECDC" w14:textId="233B3998" w:rsidR="008423E4" w:rsidRPr="00861995" w:rsidRDefault="001A0647" w:rsidP="004C4D01">
            <w:pPr>
              <w:jc w:val="right"/>
            </w:pPr>
            <w:r>
              <w:t>C.S.H.B. 1919</w:t>
            </w:r>
          </w:p>
        </w:tc>
      </w:tr>
      <w:tr w:rsidR="000A59EF" w14:paraId="3AA3FE5C" w14:textId="77777777" w:rsidTr="00345119">
        <w:tc>
          <w:tcPr>
            <w:tcW w:w="9576" w:type="dxa"/>
          </w:tcPr>
          <w:p w14:paraId="3F6C5920" w14:textId="3E0A0333" w:rsidR="008423E4" w:rsidRPr="00861995" w:rsidRDefault="001A0647" w:rsidP="00F75761">
            <w:pPr>
              <w:jc w:val="right"/>
            </w:pPr>
            <w:r>
              <w:t xml:space="preserve">By: </w:t>
            </w:r>
            <w:r w:rsidR="00F75761">
              <w:t>Harris</w:t>
            </w:r>
          </w:p>
        </w:tc>
      </w:tr>
      <w:tr w:rsidR="000A59EF" w14:paraId="089491A0" w14:textId="77777777" w:rsidTr="00345119">
        <w:tc>
          <w:tcPr>
            <w:tcW w:w="9576" w:type="dxa"/>
          </w:tcPr>
          <w:p w14:paraId="4061F22D" w14:textId="7DD69383" w:rsidR="008423E4" w:rsidRPr="00861995" w:rsidRDefault="001A0647" w:rsidP="004C4D01">
            <w:pPr>
              <w:jc w:val="right"/>
            </w:pPr>
            <w:r>
              <w:t>Insurance</w:t>
            </w:r>
          </w:p>
        </w:tc>
      </w:tr>
      <w:tr w:rsidR="000A59EF" w14:paraId="05056A0B" w14:textId="77777777" w:rsidTr="00345119">
        <w:tc>
          <w:tcPr>
            <w:tcW w:w="9576" w:type="dxa"/>
          </w:tcPr>
          <w:p w14:paraId="46A36278" w14:textId="5901ACFD" w:rsidR="008423E4" w:rsidRDefault="001A0647" w:rsidP="004C4D01">
            <w:pPr>
              <w:jc w:val="right"/>
            </w:pPr>
            <w:r>
              <w:t>Committee Report (Substituted)</w:t>
            </w:r>
          </w:p>
        </w:tc>
      </w:tr>
    </w:tbl>
    <w:p w14:paraId="3BC1D04F" w14:textId="77777777" w:rsidR="008423E4" w:rsidRDefault="008423E4" w:rsidP="004C4D01">
      <w:pPr>
        <w:tabs>
          <w:tab w:val="right" w:pos="9360"/>
        </w:tabs>
      </w:pPr>
    </w:p>
    <w:p w14:paraId="156135E7" w14:textId="77777777" w:rsidR="008423E4" w:rsidRDefault="008423E4" w:rsidP="004C4D01"/>
    <w:p w14:paraId="4D5D922B" w14:textId="77777777" w:rsidR="008423E4" w:rsidRDefault="008423E4" w:rsidP="004C4D0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A59EF" w14:paraId="00F1DFCB" w14:textId="77777777" w:rsidTr="00345119">
        <w:tc>
          <w:tcPr>
            <w:tcW w:w="9576" w:type="dxa"/>
          </w:tcPr>
          <w:p w14:paraId="19BD5EC1" w14:textId="77777777" w:rsidR="008423E4" w:rsidRPr="00A8133F" w:rsidRDefault="001A0647" w:rsidP="004C4D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E8D181" w14:textId="77777777" w:rsidR="008423E4" w:rsidRDefault="008423E4" w:rsidP="004C4D01"/>
          <w:p w14:paraId="4EBA0EF7" w14:textId="05F4C890" w:rsidR="008423E4" w:rsidRDefault="001A0647" w:rsidP="004C4D01">
            <w:pPr>
              <w:pStyle w:val="Header"/>
              <w:jc w:val="both"/>
            </w:pPr>
            <w:r>
              <w:t xml:space="preserve">Consolidation in the pharmacy benefits and health insurance industries has concentrated control of pharmacy benefits in the hands of a few huge conglomerates. </w:t>
            </w:r>
            <w:r w:rsidR="00AE1480">
              <w:t xml:space="preserve">These benefit managers </w:t>
            </w:r>
            <w:r>
              <w:t xml:space="preserve">collectively manage </w:t>
            </w:r>
            <w:r w:rsidR="00AE1480">
              <w:t xml:space="preserve">roughly </w:t>
            </w:r>
            <w:r w:rsidR="009026DE">
              <w:t>three-</w:t>
            </w:r>
            <w:r w:rsidR="00AE1480">
              <w:t xml:space="preserve">quarters </w:t>
            </w:r>
            <w:r>
              <w:t>of the pharmacy benefits market</w:t>
            </w:r>
            <w:r>
              <w:t xml:space="preserve"> and their contro</w:t>
            </w:r>
            <w:r w:rsidR="00AE1480">
              <w:t xml:space="preserve">l continues to increase </w:t>
            </w:r>
            <w:r w:rsidR="006513E7">
              <w:t>due</w:t>
            </w:r>
            <w:r w:rsidR="00AE1480">
              <w:t xml:space="preserve"> to recent mergers with insurers</w:t>
            </w:r>
            <w:r>
              <w:t xml:space="preserve">. </w:t>
            </w:r>
            <w:r w:rsidR="00561C21">
              <w:t>A recent survey</w:t>
            </w:r>
            <w:r w:rsidR="006513E7">
              <w:t xml:space="preserve"> suggest</w:t>
            </w:r>
            <w:r w:rsidR="00561C21">
              <w:t xml:space="preserve">s a significant number of pharmacies reported their patients having prescriptions transferred to a benefit manager, with </w:t>
            </w:r>
            <w:r w:rsidR="006513E7">
              <w:t>the s</w:t>
            </w:r>
            <w:r>
              <w:t xml:space="preserve">teering of patients to </w:t>
            </w:r>
            <w:r w:rsidR="006513E7">
              <w:t>certain</w:t>
            </w:r>
            <w:r>
              <w:t xml:space="preserve"> retail and specialty pharmacies </w:t>
            </w:r>
            <w:r w:rsidR="00561C21">
              <w:t>increasing</w:t>
            </w:r>
            <w:r>
              <w:t xml:space="preserve"> as the</w:t>
            </w:r>
            <w:r w:rsidR="00561C21">
              <w:t>se</w:t>
            </w:r>
            <w:r>
              <w:t xml:space="preserve"> new conglomerates use both their </w:t>
            </w:r>
            <w:r w:rsidR="006513E7">
              <w:t xml:space="preserve">pharmacy benefit manager </w:t>
            </w:r>
            <w:r>
              <w:t xml:space="preserve">and health insurance arms to </w:t>
            </w:r>
            <w:r w:rsidR="009026DE">
              <w:t>"</w:t>
            </w:r>
            <w:r>
              <w:t>refer</w:t>
            </w:r>
            <w:r w:rsidR="009026DE">
              <w:t xml:space="preserve">" </w:t>
            </w:r>
            <w:r>
              <w:t>patients to their own mail-order, retail</w:t>
            </w:r>
            <w:r w:rsidR="006513E7">
              <w:t>,</w:t>
            </w:r>
            <w:r>
              <w:t xml:space="preserve"> and specialty pharmacies. </w:t>
            </w:r>
            <w:r w:rsidR="00561C21">
              <w:t xml:space="preserve">There are concerns that these </w:t>
            </w:r>
            <w:r w:rsidR="009026DE">
              <w:t>"</w:t>
            </w:r>
            <w:r>
              <w:t>referral</w:t>
            </w:r>
            <w:r w:rsidR="009026DE">
              <w:t xml:space="preserve">" </w:t>
            </w:r>
            <w:r>
              <w:t>practices represent a conflict of interest and decrease both transparency and competition in the health services market</w:t>
            </w:r>
            <w:r w:rsidR="006513E7">
              <w:t>. C.S.H.B. 1919 seeks to remedy this situation by protecting the right of pharmacy patients to use their pharmacy of choice</w:t>
            </w:r>
            <w:r>
              <w:t>.</w:t>
            </w:r>
          </w:p>
          <w:p w14:paraId="52DCF00C" w14:textId="77777777" w:rsidR="008423E4" w:rsidRPr="00E26B13" w:rsidRDefault="008423E4" w:rsidP="004C4D01">
            <w:pPr>
              <w:rPr>
                <w:b/>
              </w:rPr>
            </w:pPr>
          </w:p>
        </w:tc>
      </w:tr>
      <w:tr w:rsidR="000A59EF" w14:paraId="7B6D7383" w14:textId="77777777" w:rsidTr="00345119">
        <w:tc>
          <w:tcPr>
            <w:tcW w:w="9576" w:type="dxa"/>
          </w:tcPr>
          <w:p w14:paraId="5A2323A5" w14:textId="77777777" w:rsidR="0017725B" w:rsidRDefault="001A0647" w:rsidP="004C4D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14:paraId="111B53ED" w14:textId="77777777" w:rsidR="0017725B" w:rsidRDefault="0017725B" w:rsidP="004C4D01">
            <w:pPr>
              <w:rPr>
                <w:b/>
                <w:u w:val="single"/>
              </w:rPr>
            </w:pPr>
          </w:p>
          <w:p w14:paraId="606F6803" w14:textId="77777777" w:rsidR="002D0322" w:rsidRPr="002D0322" w:rsidRDefault="001A0647" w:rsidP="004C4D0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2CF62EC8" w14:textId="77777777" w:rsidR="0017725B" w:rsidRPr="0017725B" w:rsidRDefault="0017725B" w:rsidP="004C4D01">
            <w:pPr>
              <w:rPr>
                <w:b/>
                <w:u w:val="single"/>
              </w:rPr>
            </w:pPr>
          </w:p>
        </w:tc>
      </w:tr>
      <w:tr w:rsidR="000A59EF" w14:paraId="6E12092E" w14:textId="77777777" w:rsidTr="00345119">
        <w:tc>
          <w:tcPr>
            <w:tcW w:w="9576" w:type="dxa"/>
          </w:tcPr>
          <w:p w14:paraId="30F56605" w14:textId="77777777" w:rsidR="008423E4" w:rsidRPr="00A8133F" w:rsidRDefault="001A0647" w:rsidP="004C4D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57AA5A" w14:textId="77777777" w:rsidR="008423E4" w:rsidRDefault="008423E4" w:rsidP="004C4D01"/>
          <w:p w14:paraId="2B2F250D" w14:textId="77777777" w:rsidR="002D0322" w:rsidRDefault="001A0647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AAD1BD8" w14:textId="77777777" w:rsidR="008423E4" w:rsidRPr="00E21FDC" w:rsidRDefault="008423E4" w:rsidP="004C4D01">
            <w:pPr>
              <w:rPr>
                <w:b/>
              </w:rPr>
            </w:pPr>
          </w:p>
        </w:tc>
      </w:tr>
      <w:tr w:rsidR="000A59EF" w14:paraId="4650A75E" w14:textId="77777777" w:rsidTr="00345119">
        <w:tc>
          <w:tcPr>
            <w:tcW w:w="9576" w:type="dxa"/>
          </w:tcPr>
          <w:p w14:paraId="44F71023" w14:textId="77777777" w:rsidR="008423E4" w:rsidRPr="00A8133F" w:rsidRDefault="001A0647" w:rsidP="004C4D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532F43E" w14:textId="77777777" w:rsidR="008423E4" w:rsidRDefault="008423E4" w:rsidP="004C4D01"/>
          <w:p w14:paraId="36DD523C" w14:textId="4150D707" w:rsidR="00170853" w:rsidRDefault="001A0647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D0322">
              <w:t xml:space="preserve">H.B. 1919 prohibits a </w:t>
            </w:r>
            <w:r w:rsidR="00C96856">
              <w:t>health benefit plan issuer or provider</w:t>
            </w:r>
            <w:r w:rsidR="002D0322">
              <w:t xml:space="preserve"> benefit manager from transferring to or receiving from</w:t>
            </w:r>
            <w:r w:rsidR="00C96856">
              <w:t xml:space="preserve"> the issuer's or manager's</w:t>
            </w:r>
            <w:r w:rsidR="002D0322">
              <w:t xml:space="preserve"> affiliated </w:t>
            </w:r>
            <w:r w:rsidR="00C96856">
              <w:t xml:space="preserve">provider </w:t>
            </w:r>
            <w:r w:rsidR="002D0322">
              <w:t>a record containing patient</w:t>
            </w:r>
            <w:r w:rsidR="00D73B3E">
              <w:t>-</w:t>
            </w:r>
            <w:r w:rsidR="002D0322">
              <w:t xml:space="preserve"> or prescriber</w:t>
            </w:r>
            <w:r w:rsidR="00D73B3E">
              <w:t>-</w:t>
            </w:r>
            <w:r w:rsidR="002D0322">
              <w:t>identifiable prescription information for a commercial purpose</w:t>
            </w:r>
            <w:r w:rsidR="002A157A">
              <w:t>, which under the bill is exclusive of pharmacy reimbursement, formulary compliance, pharmaceutical care, utilization review by a health care provider, or a public health activity otherwise authorized by law</w:t>
            </w:r>
            <w:r w:rsidR="002D0322">
              <w:t xml:space="preserve">. </w:t>
            </w:r>
            <w:r w:rsidRPr="00657B94">
              <w:t xml:space="preserve">The bill defines "affiliated </w:t>
            </w:r>
            <w:r w:rsidR="00C96856">
              <w:t>provider</w:t>
            </w:r>
            <w:r w:rsidRPr="00657B94">
              <w:t xml:space="preserve">" as a pharmacy </w:t>
            </w:r>
            <w:r w:rsidR="00AA2C17">
              <w:t xml:space="preserve">or durable medical equipment provider </w:t>
            </w:r>
            <w:r w:rsidRPr="00657B94">
              <w:t xml:space="preserve">that directly, or indirectly through one or more intermediaries, controls, is controlled by, or is under common control with a </w:t>
            </w:r>
            <w:r w:rsidR="00AA2C17">
              <w:t xml:space="preserve">health benefit plan issuer or </w:t>
            </w:r>
            <w:r w:rsidRPr="00657B94">
              <w:t>pharmacy benefit manager.</w:t>
            </w:r>
            <w:r w:rsidR="00902005">
              <w:t xml:space="preserve"> The bill defines "health benefit plan" </w:t>
            </w:r>
            <w:r w:rsidR="00383EE4">
              <w:t>and "pharmacy benefit manager" by reference.</w:t>
            </w:r>
          </w:p>
          <w:p w14:paraId="7C9C17D6" w14:textId="77777777" w:rsidR="00170853" w:rsidRDefault="00170853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D0CD16" w14:textId="627373CD" w:rsidR="009C36CD" w:rsidRDefault="001A0647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70853">
              <w:t>H.B. 1919</w:t>
            </w:r>
            <w:r w:rsidR="002D0322">
              <w:t xml:space="preserve"> prohibits a health benefit plan issuer or pharmacy benefit manager from steering or directing a patient to use </w:t>
            </w:r>
            <w:r w:rsidR="00AA2C17">
              <w:t>the issuer's or manager's</w:t>
            </w:r>
            <w:r w:rsidR="002D0322">
              <w:t xml:space="preserve"> affiliated </w:t>
            </w:r>
            <w:r w:rsidR="00AA2C17">
              <w:t xml:space="preserve">provider </w:t>
            </w:r>
            <w:r w:rsidR="002D0322">
              <w:t>through any oral or written communication</w:t>
            </w:r>
            <w:r w:rsidR="00383EE4">
              <w:t>, including online messaging or certain advertising, marketing, or promotion of the provider</w:t>
            </w:r>
            <w:r w:rsidR="002D0322">
              <w:t xml:space="preserve">. This prohibition does not prohibit </w:t>
            </w:r>
            <w:r w:rsidR="002D0322" w:rsidRPr="002D0322">
              <w:t xml:space="preserve">a health benefit plan issuer or pharmacy benefit manager from including </w:t>
            </w:r>
            <w:r w:rsidR="00AA2C17">
              <w:t>the issuer's or manager's</w:t>
            </w:r>
            <w:r w:rsidR="00AA2C17" w:rsidRPr="002D0322">
              <w:t xml:space="preserve"> </w:t>
            </w:r>
            <w:r w:rsidR="002D0322" w:rsidRPr="002D0322">
              <w:t xml:space="preserve">affiliated </w:t>
            </w:r>
            <w:r w:rsidR="00AA2C17">
              <w:t>provider</w:t>
            </w:r>
            <w:r w:rsidR="00AA2C17" w:rsidRPr="002D0322">
              <w:t xml:space="preserve"> </w:t>
            </w:r>
            <w:r w:rsidR="002D0322" w:rsidRPr="002D0322">
              <w:t>in a patient or prospective patient communication</w:t>
            </w:r>
            <w:r w:rsidR="002D0322">
              <w:t xml:space="preserve"> that meets the following criteria:</w:t>
            </w:r>
          </w:p>
          <w:p w14:paraId="4B58814F" w14:textId="57BFCE39" w:rsidR="002D0322" w:rsidRDefault="001A0647" w:rsidP="004C4D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communication</w:t>
            </w:r>
            <w:r w:rsidR="00C234BF">
              <w:t xml:space="preserve"> is</w:t>
            </w:r>
            <w:r>
              <w:t xml:space="preserve"> </w:t>
            </w:r>
            <w:r w:rsidRPr="002D0322">
              <w:t>regarding informa</w:t>
            </w:r>
            <w:r w:rsidR="00170853">
              <w:t>tion about the cost or service p</w:t>
            </w:r>
            <w:r w:rsidRPr="002D0322">
              <w:t>rovided by pharmacies</w:t>
            </w:r>
            <w:r w:rsidR="00AA2C17">
              <w:t xml:space="preserve"> or durable medical equipment providers</w:t>
            </w:r>
            <w:r w:rsidRPr="002D0322">
              <w:t xml:space="preserve"> in the network of a health benefit plan in which the patient </w:t>
            </w:r>
            <w:r w:rsidR="00AA2C17">
              <w:t xml:space="preserve">or prospective patient </w:t>
            </w:r>
            <w:r w:rsidRPr="002D0322">
              <w:t>is enrolled</w:t>
            </w:r>
            <w:r>
              <w:t>; and</w:t>
            </w:r>
          </w:p>
          <w:p w14:paraId="1D659602" w14:textId="022E695A" w:rsidR="002D0322" w:rsidRDefault="001A0647" w:rsidP="004C4D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communication </w:t>
            </w:r>
            <w:r w:rsidRPr="00C234BF">
              <w:t>includes accurate comparable information regarding pharmacies</w:t>
            </w:r>
            <w:r w:rsidR="00AA2C17">
              <w:t xml:space="preserve"> or durable medical equipment providers</w:t>
            </w:r>
            <w:r w:rsidRPr="00C234BF">
              <w:t xml:space="preserve"> in the network that are not </w:t>
            </w:r>
            <w:r w:rsidR="00FA7654">
              <w:t xml:space="preserve">the issuer's or manager's </w:t>
            </w:r>
            <w:r w:rsidRPr="00C234BF">
              <w:t xml:space="preserve">affiliated </w:t>
            </w:r>
            <w:r w:rsidR="00FA7654">
              <w:t>providers</w:t>
            </w:r>
            <w:r>
              <w:t>.</w:t>
            </w:r>
          </w:p>
          <w:p w14:paraId="5D1A4DDE" w14:textId="77777777" w:rsidR="00C234BF" w:rsidRDefault="00C234BF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2A3635" w14:textId="19A0DEE3" w:rsidR="00C234BF" w:rsidRDefault="001A0647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1919 prohibits a health benefit plan issuer or pharmacy benefit manager from doing the following:</w:t>
            </w:r>
          </w:p>
          <w:p w14:paraId="4F6E730F" w14:textId="25B5414B" w:rsidR="008423E4" w:rsidRPr="00C234BF" w:rsidRDefault="001A0647" w:rsidP="004C4D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requiring a patient to use </w:t>
            </w:r>
            <w:r w:rsidR="00FA7654">
              <w:t xml:space="preserve">the issuer's or manager's </w:t>
            </w:r>
            <w:r w:rsidRPr="00C234BF">
              <w:t xml:space="preserve">affiliated </w:t>
            </w:r>
            <w:r w:rsidR="00FA7654">
              <w:t>provider</w:t>
            </w:r>
            <w:r w:rsidR="00FA7654" w:rsidRPr="00C234BF">
              <w:t xml:space="preserve"> </w:t>
            </w:r>
            <w:r w:rsidRPr="00C234BF">
              <w:t>in order for the patient to receiv</w:t>
            </w:r>
            <w:r w:rsidRPr="00C234BF">
              <w:t>e the maximum benefit for the service under the patient</w:t>
            </w:r>
            <w:r w:rsidR="00DE0D4D">
              <w:t>'</w:t>
            </w:r>
            <w:r w:rsidRPr="00C234BF">
              <w:t>s health benefit plan</w:t>
            </w:r>
            <w:r>
              <w:t>;</w:t>
            </w:r>
          </w:p>
          <w:p w14:paraId="5B40DE30" w14:textId="05469B84" w:rsidR="00C234BF" w:rsidRDefault="001A0647" w:rsidP="004C4D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C234BF">
              <w:t>offer</w:t>
            </w:r>
            <w:r>
              <w:t>ing</w:t>
            </w:r>
            <w:r w:rsidRPr="00C234BF">
              <w:t xml:space="preserve"> or implement</w:t>
            </w:r>
            <w:r>
              <w:t>ing</w:t>
            </w:r>
            <w:r w:rsidRPr="00C234BF">
              <w:t xml:space="preserve"> a health benefit plan that requires or induces a patient to use </w:t>
            </w:r>
            <w:r w:rsidR="00FA7654">
              <w:t>the insurer's or manager's</w:t>
            </w:r>
            <w:r w:rsidR="00FA7654" w:rsidRPr="00C234BF">
              <w:t xml:space="preserve"> </w:t>
            </w:r>
            <w:r w:rsidRPr="00C234BF">
              <w:t xml:space="preserve">affiliated </w:t>
            </w:r>
            <w:r w:rsidR="00FA7654">
              <w:t>provider</w:t>
            </w:r>
            <w:r w:rsidRPr="00C234BF">
              <w:t>, including by providing for reduced cost</w:t>
            </w:r>
            <w:r w:rsidR="004C4D01">
              <w:noBreakHyphen/>
            </w:r>
            <w:r w:rsidRPr="00C234BF">
              <w:t xml:space="preserve">sharing if the patient uses the affiliated </w:t>
            </w:r>
            <w:r w:rsidR="00FA7654">
              <w:t>provider</w:t>
            </w:r>
            <w:r>
              <w:t>;</w:t>
            </w:r>
          </w:p>
          <w:p w14:paraId="6298CC2D" w14:textId="7F4CE4A9" w:rsidR="00C234BF" w:rsidRDefault="001A0647" w:rsidP="004C4D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soliciting a patient or prescriber to transfer a patient prescription to </w:t>
            </w:r>
            <w:r w:rsidR="00FA7654">
              <w:t xml:space="preserve">the issuer's or manager's </w:t>
            </w:r>
            <w:r>
              <w:t xml:space="preserve">affiliated </w:t>
            </w:r>
            <w:r w:rsidR="00FA7654">
              <w:t>provider</w:t>
            </w:r>
            <w:r>
              <w:t>; or</w:t>
            </w:r>
          </w:p>
          <w:p w14:paraId="759F1AC5" w14:textId="6425668A" w:rsidR="00C234BF" w:rsidRDefault="001A0647" w:rsidP="004C4D0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a pharmacy</w:t>
            </w:r>
            <w:r w:rsidR="00FA7654">
              <w:t xml:space="preserve"> or durable medical equipment provider that is not the issuer's or manager's affiliated provider</w:t>
            </w:r>
            <w:r>
              <w:t xml:space="preserve"> to transfer a patient's prescription to </w:t>
            </w:r>
            <w:r w:rsidR="00FA7654">
              <w:t xml:space="preserve">the issuer's or manager's </w:t>
            </w:r>
            <w:r>
              <w:t xml:space="preserve">affiliated </w:t>
            </w:r>
            <w:r w:rsidR="00FA7654">
              <w:t xml:space="preserve">provider </w:t>
            </w:r>
            <w:r>
              <w:t>without the prior written consent of the patient.</w:t>
            </w:r>
          </w:p>
          <w:p w14:paraId="1ADDB40A" w14:textId="43F6FEF0" w:rsidR="00D73B3E" w:rsidRPr="00C234BF" w:rsidRDefault="00D73B3E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A59EF" w14:paraId="54A720A0" w14:textId="77777777" w:rsidTr="00345119">
        <w:tc>
          <w:tcPr>
            <w:tcW w:w="9576" w:type="dxa"/>
          </w:tcPr>
          <w:p w14:paraId="1F31A2C8" w14:textId="77777777" w:rsidR="008423E4" w:rsidRPr="00A8133F" w:rsidRDefault="001A0647" w:rsidP="004C4D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3EA022" w14:textId="77777777" w:rsidR="008423E4" w:rsidRDefault="008423E4" w:rsidP="004C4D01"/>
          <w:p w14:paraId="53920B25" w14:textId="2E607213" w:rsidR="008423E4" w:rsidRPr="003624F2" w:rsidRDefault="001A0647" w:rsidP="004C4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 w:rsidR="00170853">
              <w:t>.</w:t>
            </w:r>
          </w:p>
          <w:p w14:paraId="24C27FA2" w14:textId="77777777" w:rsidR="008423E4" w:rsidRPr="00233FDB" w:rsidRDefault="008423E4" w:rsidP="004C4D01">
            <w:pPr>
              <w:rPr>
                <w:b/>
              </w:rPr>
            </w:pPr>
          </w:p>
        </w:tc>
      </w:tr>
      <w:tr w:rsidR="000A59EF" w14:paraId="220BD982" w14:textId="77777777" w:rsidTr="00345119">
        <w:tc>
          <w:tcPr>
            <w:tcW w:w="9576" w:type="dxa"/>
          </w:tcPr>
          <w:p w14:paraId="1A8A5CC4" w14:textId="77777777" w:rsidR="00F75761" w:rsidRDefault="001A0647" w:rsidP="00F757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6C126E" w14:textId="35FF3468" w:rsidR="00FA7654" w:rsidRPr="00F75761" w:rsidRDefault="00FA7654" w:rsidP="00F75761">
            <w:pPr>
              <w:jc w:val="both"/>
              <w:rPr>
                <w:b/>
                <w:u w:val="single"/>
              </w:rPr>
            </w:pPr>
          </w:p>
        </w:tc>
      </w:tr>
      <w:tr w:rsidR="000A59EF" w14:paraId="69550EAE" w14:textId="77777777" w:rsidTr="00345119">
        <w:tc>
          <w:tcPr>
            <w:tcW w:w="9576" w:type="dxa"/>
          </w:tcPr>
          <w:p w14:paraId="73991C54" w14:textId="77777777" w:rsidR="00A91B62" w:rsidRDefault="001A0647" w:rsidP="00A91B62">
            <w:pPr>
              <w:jc w:val="both"/>
            </w:pPr>
            <w:r>
              <w:t xml:space="preserve">While C.S.H.B. 1919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53E0C33E" w14:textId="77777777" w:rsidR="00A91B62" w:rsidRDefault="00A91B62" w:rsidP="00A91B62">
            <w:pPr>
              <w:jc w:val="both"/>
            </w:pPr>
          </w:p>
          <w:p w14:paraId="70AEFDC2" w14:textId="77777777" w:rsidR="00A91B62" w:rsidRDefault="001A0647" w:rsidP="00A91B62">
            <w:pPr>
              <w:jc w:val="both"/>
            </w:pPr>
            <w:r>
              <w:t>The substitute replaces the definition for "affiliated pharmacy" with a definition for "affiliated provider" and revises the bill to reflect that change. The substitute includes a definition for "health benefit plan." The substitute makes the fo</w:t>
            </w:r>
            <w:r>
              <w:t>llowing changes with regard to terminology used in the bill:</w:t>
            </w:r>
          </w:p>
          <w:p w14:paraId="0449EC53" w14:textId="77777777" w:rsidR="00A91B62" w:rsidRDefault="001A0647" w:rsidP="00A91B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replaces a reference to "pharmacy benefit manager" with "health benefit plan issuer or provider benefit manager"; and</w:t>
            </w:r>
          </w:p>
          <w:p w14:paraId="22FBCE8C" w14:textId="77777777" w:rsidR="00A91B62" w:rsidRDefault="001A0647" w:rsidP="00A91B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replaces certain references to "an affiliated pharmacy" with "the issuer's or</w:t>
            </w:r>
            <w:r>
              <w:t xml:space="preserve"> manager's affiliated provider."</w:t>
            </w:r>
          </w:p>
          <w:p w14:paraId="312F92A6" w14:textId="77777777" w:rsidR="00A91B62" w:rsidRDefault="00A91B62" w:rsidP="00A91B62">
            <w:pPr>
              <w:jc w:val="both"/>
            </w:pPr>
          </w:p>
          <w:p w14:paraId="0919B037" w14:textId="77777777" w:rsidR="00A91B62" w:rsidRDefault="001A0647" w:rsidP="00A91B62">
            <w:pPr>
              <w:jc w:val="both"/>
            </w:pPr>
            <w:r>
              <w:t xml:space="preserve">The substitute includes a </w:t>
            </w:r>
            <w:r w:rsidRPr="00910716">
              <w:t>prohibition</w:t>
            </w:r>
            <w:r>
              <w:t xml:space="preserve"> against a health benefit plan issuer or pharmacy benefit manager from requiring a durable medical equipment provider that is not the issuer's or manager's affiliated provider to transf</w:t>
            </w:r>
            <w:r>
              <w:t>er a patient's prescription to the issuer's or manager's affiliated provider without the prior written consent of the patient</w:t>
            </w:r>
          </w:p>
          <w:p w14:paraId="3989F384" w14:textId="77777777" w:rsidR="00A91B62" w:rsidRDefault="00A91B62" w:rsidP="00A91B62">
            <w:pPr>
              <w:jc w:val="both"/>
            </w:pPr>
          </w:p>
          <w:p w14:paraId="7C4FD801" w14:textId="77777777" w:rsidR="00A91B62" w:rsidRDefault="001A0647" w:rsidP="00A91B62">
            <w:pPr>
              <w:jc w:val="both"/>
            </w:pPr>
            <w:r>
              <w:t>The substitute includes a procedural provision applying the bill's provisions only to a health benefit plan delivered, issued for</w:t>
            </w:r>
            <w:r>
              <w:t xml:space="preserve"> delivery, or renewed on or after the bill's effective date.</w:t>
            </w:r>
          </w:p>
          <w:p w14:paraId="6384664A" w14:textId="77777777" w:rsidR="00434E14" w:rsidRPr="009C1E9A" w:rsidRDefault="00434E14" w:rsidP="004C4D01">
            <w:pPr>
              <w:rPr>
                <w:b/>
                <w:u w:val="single"/>
              </w:rPr>
            </w:pPr>
          </w:p>
        </w:tc>
      </w:tr>
      <w:tr w:rsidR="000A59EF" w14:paraId="3750B8F1" w14:textId="77777777" w:rsidTr="00345119">
        <w:tc>
          <w:tcPr>
            <w:tcW w:w="9576" w:type="dxa"/>
          </w:tcPr>
          <w:p w14:paraId="350FB99E" w14:textId="77777777" w:rsidR="00434E14" w:rsidRPr="00F75761" w:rsidRDefault="00434E14" w:rsidP="00F75761">
            <w:pPr>
              <w:spacing w:line="480" w:lineRule="auto"/>
              <w:jc w:val="both"/>
            </w:pPr>
          </w:p>
        </w:tc>
      </w:tr>
      <w:tr w:rsidR="000A59EF" w14:paraId="4A64494E" w14:textId="77777777" w:rsidTr="00345119">
        <w:tc>
          <w:tcPr>
            <w:tcW w:w="9576" w:type="dxa"/>
          </w:tcPr>
          <w:p w14:paraId="20CBED88" w14:textId="77777777" w:rsidR="00F75761" w:rsidRPr="00434E14" w:rsidRDefault="00F75761" w:rsidP="004C4D01">
            <w:pPr>
              <w:jc w:val="both"/>
            </w:pPr>
          </w:p>
        </w:tc>
      </w:tr>
      <w:tr w:rsidR="000A59EF" w14:paraId="32292CC6" w14:textId="77777777" w:rsidTr="00345119">
        <w:tc>
          <w:tcPr>
            <w:tcW w:w="9576" w:type="dxa"/>
          </w:tcPr>
          <w:p w14:paraId="0E035D91" w14:textId="77777777" w:rsidR="00F75761" w:rsidRPr="00434E14" w:rsidRDefault="00F75761" w:rsidP="004C4D01">
            <w:pPr>
              <w:jc w:val="both"/>
            </w:pPr>
          </w:p>
        </w:tc>
      </w:tr>
      <w:tr w:rsidR="000A59EF" w14:paraId="29FB53AA" w14:textId="77777777" w:rsidTr="00345119">
        <w:tc>
          <w:tcPr>
            <w:tcW w:w="9576" w:type="dxa"/>
          </w:tcPr>
          <w:p w14:paraId="5053629F" w14:textId="77777777" w:rsidR="00F75761" w:rsidRPr="00434E14" w:rsidRDefault="00F75761" w:rsidP="004C4D01">
            <w:pPr>
              <w:jc w:val="both"/>
            </w:pPr>
          </w:p>
        </w:tc>
      </w:tr>
    </w:tbl>
    <w:p w14:paraId="2A9B6B80" w14:textId="77777777" w:rsidR="008423E4" w:rsidRPr="00BE0E75" w:rsidRDefault="008423E4" w:rsidP="004C4D01">
      <w:pPr>
        <w:jc w:val="both"/>
        <w:rPr>
          <w:rFonts w:ascii="Arial" w:hAnsi="Arial"/>
          <w:sz w:val="16"/>
          <w:szCs w:val="16"/>
        </w:rPr>
      </w:pPr>
    </w:p>
    <w:p w14:paraId="2777CB05" w14:textId="77777777" w:rsidR="004108C3" w:rsidRPr="008423E4" w:rsidRDefault="004108C3" w:rsidP="004C4D0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EF5C" w14:textId="77777777" w:rsidR="00000000" w:rsidRDefault="001A0647">
      <w:r>
        <w:separator/>
      </w:r>
    </w:p>
  </w:endnote>
  <w:endnote w:type="continuationSeparator" w:id="0">
    <w:p w14:paraId="09170EAC" w14:textId="77777777" w:rsidR="00000000" w:rsidRDefault="001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635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59EF" w14:paraId="792B34C3" w14:textId="77777777" w:rsidTr="009C1E9A">
      <w:trPr>
        <w:cantSplit/>
      </w:trPr>
      <w:tc>
        <w:tcPr>
          <w:tcW w:w="0" w:type="pct"/>
        </w:tcPr>
        <w:p w14:paraId="20BB14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091D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CF28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558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DBCB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9EF" w14:paraId="36F705FA" w14:textId="77777777" w:rsidTr="009C1E9A">
      <w:trPr>
        <w:cantSplit/>
      </w:trPr>
      <w:tc>
        <w:tcPr>
          <w:tcW w:w="0" w:type="pct"/>
        </w:tcPr>
        <w:p w14:paraId="09940B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92FE8C" w14:textId="19E88CCD" w:rsidR="00EC379B" w:rsidRPr="009C1E9A" w:rsidRDefault="001A06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20622</w:t>
          </w:r>
        </w:p>
      </w:tc>
      <w:tc>
        <w:tcPr>
          <w:tcW w:w="2453" w:type="pct"/>
        </w:tcPr>
        <w:p w14:paraId="153BECC5" w14:textId="6857D948" w:rsidR="00EC379B" w:rsidRDefault="001A06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13C24">
            <w:t>21.104.2571</w:t>
          </w:r>
          <w:r>
            <w:fldChar w:fldCharType="end"/>
          </w:r>
        </w:p>
      </w:tc>
    </w:tr>
    <w:tr w:rsidR="000A59EF" w14:paraId="5EB1F50B" w14:textId="77777777" w:rsidTr="009C1E9A">
      <w:trPr>
        <w:cantSplit/>
      </w:trPr>
      <w:tc>
        <w:tcPr>
          <w:tcW w:w="0" w:type="pct"/>
        </w:tcPr>
        <w:p w14:paraId="3DAD1B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5028CCD" w14:textId="3444B905" w:rsidR="00EC379B" w:rsidRPr="009C1E9A" w:rsidRDefault="001A06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16541</w:t>
          </w:r>
        </w:p>
      </w:tc>
      <w:tc>
        <w:tcPr>
          <w:tcW w:w="2453" w:type="pct"/>
        </w:tcPr>
        <w:p w14:paraId="3DE06AA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67EB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9EF" w14:paraId="65F206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12893A" w14:textId="0792A2A1" w:rsidR="00EC379B" w:rsidRDefault="001A06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3C2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E2754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FBC63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F62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A934" w14:textId="77777777" w:rsidR="00000000" w:rsidRDefault="001A0647">
      <w:r>
        <w:separator/>
      </w:r>
    </w:p>
  </w:footnote>
  <w:footnote w:type="continuationSeparator" w:id="0">
    <w:p w14:paraId="7D1ECAB8" w14:textId="77777777" w:rsidR="00000000" w:rsidRDefault="001A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A8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3F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490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08D"/>
    <w:multiLevelType w:val="hybridMultilevel"/>
    <w:tmpl w:val="DBDE851C"/>
    <w:lvl w:ilvl="0" w:tplc="27AE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2E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8F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C9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84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C9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9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E2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71EF"/>
    <w:multiLevelType w:val="hybridMultilevel"/>
    <w:tmpl w:val="5BF08F74"/>
    <w:lvl w:ilvl="0" w:tplc="48823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E7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8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C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8B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A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B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69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2E83"/>
    <w:multiLevelType w:val="hybridMultilevel"/>
    <w:tmpl w:val="3364D1B4"/>
    <w:lvl w:ilvl="0" w:tplc="D3F2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24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41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3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09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4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01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8C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BF"/>
    <w:rsid w:val="000532BD"/>
    <w:rsid w:val="00055C12"/>
    <w:rsid w:val="000608B0"/>
    <w:rsid w:val="0006104C"/>
    <w:rsid w:val="00064A79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9EF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853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647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96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57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322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475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EE4"/>
    <w:rsid w:val="0038478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D3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E14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0E3"/>
    <w:rsid w:val="00483AF0"/>
    <w:rsid w:val="00483FFB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4D01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C24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1C21"/>
    <w:rsid w:val="00562C87"/>
    <w:rsid w:val="005636BD"/>
    <w:rsid w:val="005666D5"/>
    <w:rsid w:val="005669A7"/>
    <w:rsid w:val="00573401"/>
    <w:rsid w:val="00574BE5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3E7"/>
    <w:rsid w:val="00657B9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8AD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CD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07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DE5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143"/>
    <w:rsid w:val="008D27A5"/>
    <w:rsid w:val="008D2AAB"/>
    <w:rsid w:val="008D309C"/>
    <w:rsid w:val="008D58F9"/>
    <w:rsid w:val="008E3338"/>
    <w:rsid w:val="008E47BE"/>
    <w:rsid w:val="008E6DA5"/>
    <w:rsid w:val="008F09DF"/>
    <w:rsid w:val="008F3053"/>
    <w:rsid w:val="008F3136"/>
    <w:rsid w:val="008F40DF"/>
    <w:rsid w:val="008F5E16"/>
    <w:rsid w:val="008F5EFC"/>
    <w:rsid w:val="00901670"/>
    <w:rsid w:val="00902005"/>
    <w:rsid w:val="00902212"/>
    <w:rsid w:val="009026DE"/>
    <w:rsid w:val="00903E0A"/>
    <w:rsid w:val="00904721"/>
    <w:rsid w:val="00907780"/>
    <w:rsid w:val="00907EDD"/>
    <w:rsid w:val="00910716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6E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904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B62"/>
    <w:rsid w:val="00A932BB"/>
    <w:rsid w:val="00A93579"/>
    <w:rsid w:val="00A93934"/>
    <w:rsid w:val="00A95D51"/>
    <w:rsid w:val="00AA18AE"/>
    <w:rsid w:val="00AA228B"/>
    <w:rsid w:val="00AA2C17"/>
    <w:rsid w:val="00AA597A"/>
    <w:rsid w:val="00AA6B48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4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DB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95F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2AD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4B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3A8"/>
    <w:rsid w:val="00C95150"/>
    <w:rsid w:val="00C95A73"/>
    <w:rsid w:val="00C96856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B3E"/>
    <w:rsid w:val="00D75DAE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D4D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94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FAF"/>
    <w:rsid w:val="00F67981"/>
    <w:rsid w:val="00F706CA"/>
    <w:rsid w:val="00F70F8D"/>
    <w:rsid w:val="00F718B7"/>
    <w:rsid w:val="00F71C5A"/>
    <w:rsid w:val="00F733A4"/>
    <w:rsid w:val="00F75761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654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7105D-A00D-45A3-98E5-EFBF083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0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322"/>
    <w:rPr>
      <w:b/>
      <w:bCs/>
    </w:rPr>
  </w:style>
  <w:style w:type="paragraph" w:styleId="ListParagraph">
    <w:name w:val="List Paragraph"/>
    <w:basedOn w:val="Normal"/>
    <w:uiPriority w:val="34"/>
    <w:qFormat/>
    <w:rsid w:val="00B3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4853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HB01919 (Committee Report (Substituted))</vt:lpstr>
    </vt:vector>
  </TitlesOfParts>
  <Company>State of Texas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20622</dc:subject>
  <dc:creator>State of Texas</dc:creator>
  <dc:description>HB 1919 by Harris-(H)Insurance (Substitute Document Number: 87R 16541)</dc:description>
  <cp:lastModifiedBy>Damian Duarte</cp:lastModifiedBy>
  <cp:revision>2</cp:revision>
  <cp:lastPrinted>2003-11-26T17:21:00Z</cp:lastPrinted>
  <dcterms:created xsi:type="dcterms:W3CDTF">2021-04-16T21:02:00Z</dcterms:created>
  <dcterms:modified xsi:type="dcterms:W3CDTF">2021-04-16T21:02:00Z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21.104.2571</vt:lpwstr>
  </property>
</Properties>
</file>