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46F66" w14:paraId="7837FAAB" w14:textId="77777777" w:rsidTr="00345119">
        <w:tc>
          <w:tcPr>
            <w:tcW w:w="9576" w:type="dxa"/>
            <w:noWrap/>
          </w:tcPr>
          <w:p w14:paraId="78C6A86B" w14:textId="77777777" w:rsidR="008423E4" w:rsidRPr="0022177D" w:rsidRDefault="0020013F" w:rsidP="00F869C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6985E3F" w14:textId="77777777" w:rsidR="008423E4" w:rsidRPr="0022177D" w:rsidRDefault="008423E4" w:rsidP="00F869C3">
      <w:pPr>
        <w:jc w:val="center"/>
      </w:pPr>
    </w:p>
    <w:p w14:paraId="6E644E8E" w14:textId="77777777" w:rsidR="008423E4" w:rsidRPr="00B31F0E" w:rsidRDefault="008423E4" w:rsidP="00F869C3"/>
    <w:p w14:paraId="19269C38" w14:textId="77777777" w:rsidR="008423E4" w:rsidRPr="00742794" w:rsidRDefault="008423E4" w:rsidP="00F869C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46F66" w14:paraId="3799A283" w14:textId="77777777" w:rsidTr="00345119">
        <w:tc>
          <w:tcPr>
            <w:tcW w:w="9576" w:type="dxa"/>
          </w:tcPr>
          <w:p w14:paraId="7943C2EB" w14:textId="36F37F82" w:rsidR="008423E4" w:rsidRPr="00861995" w:rsidRDefault="0020013F" w:rsidP="00F869C3">
            <w:pPr>
              <w:jc w:val="right"/>
            </w:pPr>
            <w:r>
              <w:t>C.S.H.B. 1923</w:t>
            </w:r>
          </w:p>
        </w:tc>
      </w:tr>
      <w:tr w:rsidR="00046F66" w14:paraId="3C041C03" w14:textId="77777777" w:rsidTr="00345119">
        <w:tc>
          <w:tcPr>
            <w:tcW w:w="9576" w:type="dxa"/>
          </w:tcPr>
          <w:p w14:paraId="1BFC6039" w14:textId="0094CBAE" w:rsidR="008423E4" w:rsidRPr="00861995" w:rsidRDefault="0020013F" w:rsidP="00F869C3">
            <w:pPr>
              <w:jc w:val="right"/>
            </w:pPr>
            <w:r>
              <w:t xml:space="preserve">By: </w:t>
            </w:r>
            <w:r w:rsidR="009837BE">
              <w:t>Thierry</w:t>
            </w:r>
          </w:p>
        </w:tc>
      </w:tr>
      <w:tr w:rsidR="00046F66" w14:paraId="716FF3F2" w14:textId="77777777" w:rsidTr="00345119">
        <w:tc>
          <w:tcPr>
            <w:tcW w:w="9576" w:type="dxa"/>
          </w:tcPr>
          <w:p w14:paraId="04B36680" w14:textId="53C6721F" w:rsidR="008423E4" w:rsidRPr="00861995" w:rsidRDefault="0020013F" w:rsidP="00F869C3">
            <w:pPr>
              <w:jc w:val="right"/>
            </w:pPr>
            <w:r>
              <w:t>International Relations &amp; Economic Development</w:t>
            </w:r>
          </w:p>
        </w:tc>
      </w:tr>
      <w:tr w:rsidR="00046F66" w14:paraId="4CFD7671" w14:textId="77777777" w:rsidTr="00345119">
        <w:tc>
          <w:tcPr>
            <w:tcW w:w="9576" w:type="dxa"/>
          </w:tcPr>
          <w:p w14:paraId="6EEE74A3" w14:textId="65A0E9C6" w:rsidR="008423E4" w:rsidRDefault="0020013F" w:rsidP="00F869C3">
            <w:pPr>
              <w:jc w:val="right"/>
            </w:pPr>
            <w:r>
              <w:t>Committee Report (Substituted)</w:t>
            </w:r>
          </w:p>
        </w:tc>
      </w:tr>
    </w:tbl>
    <w:p w14:paraId="32B5B62D" w14:textId="77777777" w:rsidR="008423E4" w:rsidRDefault="008423E4" w:rsidP="00F869C3">
      <w:pPr>
        <w:tabs>
          <w:tab w:val="right" w:pos="9360"/>
        </w:tabs>
      </w:pPr>
    </w:p>
    <w:p w14:paraId="001AB01F" w14:textId="77777777" w:rsidR="008423E4" w:rsidRDefault="008423E4" w:rsidP="00F869C3"/>
    <w:p w14:paraId="1AE34B96" w14:textId="77777777" w:rsidR="008423E4" w:rsidRDefault="008423E4" w:rsidP="00F869C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46F66" w14:paraId="51112D5A" w14:textId="77777777" w:rsidTr="00345119">
        <w:tc>
          <w:tcPr>
            <w:tcW w:w="9576" w:type="dxa"/>
          </w:tcPr>
          <w:p w14:paraId="1CD7876C" w14:textId="77777777" w:rsidR="008423E4" w:rsidRPr="00A8133F" w:rsidRDefault="0020013F" w:rsidP="00F869C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372F881" w14:textId="77777777" w:rsidR="008423E4" w:rsidRDefault="008423E4" w:rsidP="00F869C3"/>
          <w:p w14:paraId="0CFFADDD" w14:textId="3532B084" w:rsidR="00B107E9" w:rsidRDefault="0020013F" w:rsidP="00F869C3">
            <w:pPr>
              <w:pStyle w:val="Header"/>
              <w:jc w:val="both"/>
            </w:pPr>
            <w:r>
              <w:t>The COVID-19 pandemic revealed the fragility of our state and nation</w:t>
            </w:r>
            <w:r w:rsidR="00785271">
              <w:t>'</w:t>
            </w:r>
            <w:r>
              <w:t xml:space="preserve">s supply chains. Hospital </w:t>
            </w:r>
            <w:r>
              <w:t>systems throughout Texas struggled with procurement of critical personal protective equipment such as respirators, surgical gloves, and N-95 surgical masks. Supply chains were riddled with logistical problems from shipping delays to price gouging. Simultan</w:t>
            </w:r>
            <w:r>
              <w:t>eously, consumer demand for food and essential items such as toilet paper and cleaning products, completely overwhelmed our state</w:t>
            </w:r>
            <w:r w:rsidR="00785271">
              <w:t>'</w:t>
            </w:r>
            <w:r>
              <w:t xml:space="preserve">s grocery supply chains and operations. The ERCOT power outages in February </w:t>
            </w:r>
            <w:r w:rsidR="00E35D64">
              <w:t xml:space="preserve">of this year </w:t>
            </w:r>
            <w:r>
              <w:t>only exacerbated the</w:t>
            </w:r>
            <w:r w:rsidR="00E35D64">
              <w:t>se</w:t>
            </w:r>
            <w:r>
              <w:t xml:space="preserve"> supply chain d</w:t>
            </w:r>
            <w:r>
              <w:t>isruptions.</w:t>
            </w:r>
            <w:r w:rsidR="00E35D64">
              <w:t xml:space="preserve"> </w:t>
            </w:r>
          </w:p>
          <w:p w14:paraId="52DA378D" w14:textId="77777777" w:rsidR="00B107E9" w:rsidRDefault="00B107E9" w:rsidP="00F869C3">
            <w:pPr>
              <w:pStyle w:val="Header"/>
              <w:jc w:val="both"/>
            </w:pPr>
          </w:p>
          <w:p w14:paraId="3CB41E2B" w14:textId="1D3BD6C4" w:rsidR="008423E4" w:rsidRDefault="0020013F" w:rsidP="00F869C3">
            <w:pPr>
              <w:pStyle w:val="Header"/>
              <w:jc w:val="both"/>
            </w:pPr>
            <w:r>
              <w:t xml:space="preserve">Even with the distribution of COVID-19 vaccines, the pandemic has left long-lasting implications on businesses and consumers. Government and private businesses must be able to use data which includes risks and losses from the pandemic </w:t>
            </w:r>
            <w:r w:rsidR="00E35D64">
              <w:t xml:space="preserve">and power outages </w:t>
            </w:r>
            <w:r>
              <w:t xml:space="preserve">as a part of long-term resilience plans to outmaneuver and successfully navigate external supply chain pressures. </w:t>
            </w:r>
            <w:r w:rsidR="00E35D64">
              <w:t xml:space="preserve">Industry leaders want to create new and agile systems to prevent supply chain breakdowns in the event of a future health crisis, catastrophic event, or other extreme disruption. C.S.H.B. 1923 </w:t>
            </w:r>
            <w:r>
              <w:t xml:space="preserve">seeks to </w:t>
            </w:r>
            <w:r w:rsidR="00E35D64">
              <w:t>prevent future</w:t>
            </w:r>
            <w:r>
              <w:t xml:space="preserve"> supply chain disruptions </w:t>
            </w:r>
            <w:r w:rsidR="00E35D64">
              <w:t>by providing for</w:t>
            </w:r>
            <w:r>
              <w:t xml:space="preserve"> a study to identify and evaluate local and state supply chain disruptions caused by the COVID-19 pandemic and the ERCOT power out</w:t>
            </w:r>
            <w:r>
              <w:t>ages.</w:t>
            </w:r>
          </w:p>
          <w:p w14:paraId="64F61F07" w14:textId="77777777" w:rsidR="008423E4" w:rsidRPr="00E26B13" w:rsidRDefault="008423E4" w:rsidP="00F869C3">
            <w:pPr>
              <w:rPr>
                <w:b/>
              </w:rPr>
            </w:pPr>
          </w:p>
        </w:tc>
      </w:tr>
      <w:tr w:rsidR="00046F66" w14:paraId="046B16C7" w14:textId="77777777" w:rsidTr="00345119">
        <w:tc>
          <w:tcPr>
            <w:tcW w:w="9576" w:type="dxa"/>
          </w:tcPr>
          <w:p w14:paraId="1B05BF6C" w14:textId="77777777" w:rsidR="0017725B" w:rsidRDefault="0020013F" w:rsidP="00F869C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68D5106" w14:textId="77777777" w:rsidR="0017725B" w:rsidRDefault="0017725B" w:rsidP="00F869C3">
            <w:pPr>
              <w:rPr>
                <w:b/>
                <w:u w:val="single"/>
              </w:rPr>
            </w:pPr>
          </w:p>
          <w:p w14:paraId="366A3543" w14:textId="77777777" w:rsidR="00831A82" w:rsidRPr="00831A82" w:rsidRDefault="0020013F" w:rsidP="00F869C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</w:t>
            </w:r>
            <w:r>
              <w:t>y supervision, parole, or mandatory supervision.</w:t>
            </w:r>
          </w:p>
          <w:p w14:paraId="238A1C44" w14:textId="77777777" w:rsidR="0017725B" w:rsidRPr="0017725B" w:rsidRDefault="0017725B" w:rsidP="00F869C3">
            <w:pPr>
              <w:rPr>
                <w:b/>
                <w:u w:val="single"/>
              </w:rPr>
            </w:pPr>
          </w:p>
        </w:tc>
      </w:tr>
      <w:tr w:rsidR="00046F66" w14:paraId="24C6B75C" w14:textId="77777777" w:rsidTr="00345119">
        <w:tc>
          <w:tcPr>
            <w:tcW w:w="9576" w:type="dxa"/>
          </w:tcPr>
          <w:p w14:paraId="1B557B01" w14:textId="77777777" w:rsidR="008423E4" w:rsidRPr="00A8133F" w:rsidRDefault="0020013F" w:rsidP="00F869C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95C9D5F" w14:textId="77777777" w:rsidR="008423E4" w:rsidRDefault="008423E4" w:rsidP="00F869C3"/>
          <w:p w14:paraId="310E0E58" w14:textId="77777777" w:rsidR="00831A82" w:rsidRDefault="0020013F" w:rsidP="00F869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03490EBA" w14:textId="77777777" w:rsidR="008423E4" w:rsidRPr="00E21FDC" w:rsidRDefault="008423E4" w:rsidP="00F869C3">
            <w:pPr>
              <w:rPr>
                <w:b/>
              </w:rPr>
            </w:pPr>
          </w:p>
        </w:tc>
      </w:tr>
      <w:tr w:rsidR="00046F66" w14:paraId="0C1DEA12" w14:textId="77777777" w:rsidTr="00345119">
        <w:tc>
          <w:tcPr>
            <w:tcW w:w="9576" w:type="dxa"/>
          </w:tcPr>
          <w:p w14:paraId="76750A54" w14:textId="77777777" w:rsidR="008423E4" w:rsidRPr="00A8133F" w:rsidRDefault="0020013F" w:rsidP="00F869C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31A3B6B" w14:textId="77777777" w:rsidR="008423E4" w:rsidRDefault="008423E4" w:rsidP="00F869C3"/>
          <w:p w14:paraId="3CD5C993" w14:textId="5EDF52DE" w:rsidR="00624D73" w:rsidRDefault="0020013F" w:rsidP="00F869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061CEF">
              <w:t>H.B. 1923 requires</w:t>
            </w:r>
            <w:r>
              <w:t xml:space="preserve"> a public institution of higher education selected by</w:t>
            </w:r>
            <w:r w:rsidR="00061CEF">
              <w:t xml:space="preserve"> the comptroller of public accounts</w:t>
            </w:r>
            <w:r>
              <w:t>, using available appropriated funds</w:t>
            </w:r>
            <w:r w:rsidR="00061CEF">
              <w:t xml:space="preserve"> </w:t>
            </w:r>
            <w:r>
              <w:t>and in collaboration with the Texas Higher Education Coordinating Board</w:t>
            </w:r>
            <w:r w:rsidR="00D05A3F">
              <w:t xml:space="preserve"> (THECB)</w:t>
            </w:r>
            <w:r>
              <w:t xml:space="preserve">, </w:t>
            </w:r>
            <w:r w:rsidR="00061CEF">
              <w:t xml:space="preserve">to </w:t>
            </w:r>
            <w:r w:rsidR="00061CEF" w:rsidRPr="00061CEF">
              <w:t>conduct a study to identify and evaluate local and state supply chain disruptions caused by the COVID-19 pandemic</w:t>
            </w:r>
            <w:r>
              <w:t xml:space="preserve"> and the sustained power outages that occurred in February 2021 within the </w:t>
            </w:r>
            <w:r w:rsidR="009964C2">
              <w:t xml:space="preserve">ERCOT </w:t>
            </w:r>
            <w:r>
              <w:t>power region</w:t>
            </w:r>
            <w:r w:rsidR="00061CEF" w:rsidRPr="00061CEF">
              <w:t>.</w:t>
            </w:r>
            <w:r w:rsidR="00061CEF">
              <w:t xml:space="preserve"> </w:t>
            </w:r>
            <w:r>
              <w:t xml:space="preserve">The bill requires the comptroller, not later than January 1, 2022, to select </w:t>
            </w:r>
            <w:r w:rsidR="00E35D64">
              <w:t>the</w:t>
            </w:r>
            <w:r>
              <w:t xml:space="preserve"> </w:t>
            </w:r>
            <w:r w:rsidR="009964C2">
              <w:t>institution</w:t>
            </w:r>
            <w:r>
              <w:t xml:space="preserve"> to conduct the study based on proposals submitted in response to a request for proposals issued by the comptroller.</w:t>
            </w:r>
          </w:p>
          <w:p w14:paraId="66656436" w14:textId="77777777" w:rsidR="00624D73" w:rsidRDefault="00624D73" w:rsidP="00F869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06637F0" w14:textId="629CF2D4" w:rsidR="009C36CD" w:rsidRDefault="0020013F" w:rsidP="00F869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1923</w:t>
            </w:r>
            <w:r w:rsidR="00061CEF">
              <w:t xml:space="preserve"> requires the </w:t>
            </w:r>
            <w:r w:rsidR="009964C2">
              <w:t>institution</w:t>
            </w:r>
            <w:r>
              <w:t xml:space="preserve"> </w:t>
            </w:r>
            <w:r w:rsidR="00061CEF">
              <w:t>to do the following</w:t>
            </w:r>
            <w:r w:rsidR="002F50F6">
              <w:t xml:space="preserve"> in conducting the study</w:t>
            </w:r>
            <w:r w:rsidR="00061CEF">
              <w:t>:</w:t>
            </w:r>
          </w:p>
          <w:p w14:paraId="0C7CB148" w14:textId="749E2103" w:rsidR="00061CEF" w:rsidRDefault="0020013F" w:rsidP="00F869C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assess the overall cost to the</w:t>
            </w:r>
            <w:r w:rsidRPr="00061CEF">
              <w:t xml:space="preserve"> state of</w:t>
            </w:r>
            <w:r w:rsidRPr="00061CEF">
              <w:t xml:space="preserve"> </w:t>
            </w:r>
            <w:r w:rsidR="00624D73">
              <w:t>the</w:t>
            </w:r>
            <w:r w:rsidR="00624D73" w:rsidRPr="00061CEF">
              <w:t xml:space="preserve"> </w:t>
            </w:r>
            <w:r w:rsidRPr="00061CEF">
              <w:t>di</w:t>
            </w:r>
            <w:r>
              <w:t>sruptions</w:t>
            </w:r>
            <w:r w:rsidRPr="00061CEF">
              <w:t>;</w:t>
            </w:r>
          </w:p>
          <w:p w14:paraId="26A9DF64" w14:textId="58B4BFE5" w:rsidR="00061CEF" w:rsidRDefault="0020013F" w:rsidP="00F869C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061CEF">
              <w:t>determine the number of jobs affected</w:t>
            </w:r>
            <w:r>
              <w:t xml:space="preserve"> by </w:t>
            </w:r>
            <w:r w:rsidR="00624D73">
              <w:t>the</w:t>
            </w:r>
            <w:r w:rsidR="00624D73" w:rsidRPr="00061CEF">
              <w:t xml:space="preserve"> </w:t>
            </w:r>
            <w:r w:rsidRPr="00061CEF">
              <w:t>dis</w:t>
            </w:r>
            <w:r>
              <w:t>ruptions</w:t>
            </w:r>
            <w:r w:rsidRPr="00061CEF">
              <w:t>;</w:t>
            </w:r>
          </w:p>
          <w:p w14:paraId="5DEBB6B3" w14:textId="15B3013C" w:rsidR="00061CEF" w:rsidRDefault="0020013F" w:rsidP="00F869C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061CEF">
              <w:t xml:space="preserve">determine which industries were most affected by </w:t>
            </w:r>
            <w:r w:rsidR="00624D73">
              <w:t>the</w:t>
            </w:r>
            <w:r w:rsidR="00624D73" w:rsidRPr="00061CEF">
              <w:t xml:space="preserve"> </w:t>
            </w:r>
            <w:r w:rsidRPr="00061CEF">
              <w:t>disruptions; and</w:t>
            </w:r>
          </w:p>
          <w:p w14:paraId="36CCD3C9" w14:textId="4C4F4618" w:rsidR="00061CEF" w:rsidRDefault="0020013F" w:rsidP="00F869C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061CEF">
              <w:t>recommend policies and procedures for maintaining effective supply chains in future health</w:t>
            </w:r>
            <w:r w:rsidR="00744A5C">
              <w:t>, power,</w:t>
            </w:r>
            <w:r w:rsidRPr="00061CEF">
              <w:t xml:space="preserve"> and economi</w:t>
            </w:r>
            <w:r w:rsidRPr="00061CEF">
              <w:t>c crises.</w:t>
            </w:r>
            <w:r>
              <w:t xml:space="preserve"> </w:t>
            </w:r>
          </w:p>
          <w:p w14:paraId="6AE588EE" w14:textId="4DA815ED" w:rsidR="00831A82" w:rsidRPr="009C36CD" w:rsidRDefault="0020013F" w:rsidP="00F869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 requires the</w:t>
            </w:r>
            <w:r w:rsidR="00624D73">
              <w:t xml:space="preserve"> </w:t>
            </w:r>
            <w:r w:rsidR="009964C2">
              <w:t>institution</w:t>
            </w:r>
            <w:r>
              <w:t xml:space="preserve">, not later than September 1, 2022, to </w:t>
            </w:r>
            <w:r w:rsidRPr="00831A82">
              <w:t>prepare and submit to the governor and the legislature a report containing the results of the study and any recommendations for legislative or other action to aid in th</w:t>
            </w:r>
            <w:r w:rsidR="00D36823">
              <w:t>e</w:t>
            </w:r>
            <w:r w:rsidRPr="00831A82">
              <w:t xml:space="preserve"> state's recovery from the COVID</w:t>
            </w:r>
            <w:r w:rsidR="009E3C29">
              <w:noBreakHyphen/>
            </w:r>
            <w:r w:rsidRPr="00831A82">
              <w:t xml:space="preserve">19 pandemic </w:t>
            </w:r>
            <w:r w:rsidR="00624D73">
              <w:t xml:space="preserve">and the ERCOT power outages </w:t>
            </w:r>
            <w:r w:rsidRPr="00831A82">
              <w:t xml:space="preserve">and </w:t>
            </w:r>
            <w:r w:rsidR="00624D73">
              <w:t xml:space="preserve">to </w:t>
            </w:r>
            <w:r w:rsidRPr="00831A82">
              <w:t>prepare for future health</w:t>
            </w:r>
            <w:r w:rsidR="00624D73">
              <w:t>, p</w:t>
            </w:r>
            <w:r w:rsidR="00C260D6">
              <w:t>o</w:t>
            </w:r>
            <w:r w:rsidR="00624D73">
              <w:t>wer,</w:t>
            </w:r>
            <w:r w:rsidRPr="00831A82">
              <w:t xml:space="preserve"> and economic crises.</w:t>
            </w:r>
            <w:r>
              <w:t xml:space="preserve"> The bill's provisions expire September 1, 2023. </w:t>
            </w:r>
          </w:p>
          <w:p w14:paraId="02C2F42C" w14:textId="77777777" w:rsidR="008423E4" w:rsidRPr="00835628" w:rsidRDefault="008423E4" w:rsidP="00F869C3">
            <w:pPr>
              <w:rPr>
                <w:b/>
              </w:rPr>
            </w:pPr>
          </w:p>
        </w:tc>
      </w:tr>
      <w:tr w:rsidR="00046F66" w14:paraId="27316D57" w14:textId="77777777" w:rsidTr="00345119">
        <w:tc>
          <w:tcPr>
            <w:tcW w:w="9576" w:type="dxa"/>
          </w:tcPr>
          <w:p w14:paraId="72A95CDA" w14:textId="77777777" w:rsidR="008423E4" w:rsidRDefault="0020013F" w:rsidP="00F869C3">
            <w:r w:rsidRPr="009C1E9A">
              <w:rPr>
                <w:b/>
                <w:u w:val="single"/>
              </w:rPr>
              <w:t>EFFECTIVE DATE</w:t>
            </w:r>
            <w:r w:rsidR="00831A82">
              <w:rPr>
                <w:b/>
              </w:rPr>
              <w:t xml:space="preserve"> </w:t>
            </w:r>
          </w:p>
          <w:p w14:paraId="665BFD63" w14:textId="77777777" w:rsidR="008423E4" w:rsidRDefault="008423E4" w:rsidP="00F869C3"/>
          <w:p w14:paraId="7214A6BD" w14:textId="77777777" w:rsidR="00E160FC" w:rsidRDefault="0020013F" w:rsidP="00F869C3">
            <w:r w:rsidRPr="00E160FC">
              <w:t>September 1, 2021.</w:t>
            </w:r>
          </w:p>
          <w:p w14:paraId="1D4D9075" w14:textId="77777777" w:rsidR="00E160FC" w:rsidRDefault="00E160FC" w:rsidP="00F869C3"/>
          <w:p w14:paraId="43AB8C48" w14:textId="77777777" w:rsidR="00E160FC" w:rsidRPr="00E160FC" w:rsidRDefault="00E160FC" w:rsidP="00F869C3"/>
        </w:tc>
      </w:tr>
      <w:tr w:rsidR="00046F66" w14:paraId="0D81F44C" w14:textId="77777777" w:rsidTr="00345119">
        <w:tc>
          <w:tcPr>
            <w:tcW w:w="9576" w:type="dxa"/>
          </w:tcPr>
          <w:p w14:paraId="5BE2DC60" w14:textId="77777777" w:rsidR="009837BE" w:rsidRDefault="0020013F" w:rsidP="00F869C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ORIGINAL AND </w:t>
            </w:r>
            <w:r>
              <w:rPr>
                <w:b/>
                <w:u w:val="single"/>
              </w:rPr>
              <w:t>SUBSTITUTE</w:t>
            </w:r>
          </w:p>
          <w:p w14:paraId="248F210B" w14:textId="77777777" w:rsidR="00C260D6" w:rsidRDefault="00C260D6" w:rsidP="00F869C3">
            <w:pPr>
              <w:jc w:val="both"/>
            </w:pPr>
          </w:p>
          <w:p w14:paraId="11379B63" w14:textId="580C48FF" w:rsidR="00C260D6" w:rsidRDefault="0020013F" w:rsidP="00F869C3">
            <w:pPr>
              <w:jc w:val="both"/>
            </w:pPr>
            <w:r>
              <w:t>While C.S.H.B. 1923 may differ from the original in minor or nonsubstantive ways, the following summarizes the substantial differences between the introduced and committee substitute versions of the bill.</w:t>
            </w:r>
          </w:p>
          <w:p w14:paraId="6A595266" w14:textId="7E5D418E" w:rsidR="00C260D6" w:rsidRDefault="00C260D6" w:rsidP="00F869C3">
            <w:pPr>
              <w:jc w:val="both"/>
            </w:pPr>
          </w:p>
          <w:p w14:paraId="2894FF28" w14:textId="508492F6" w:rsidR="005B047E" w:rsidRDefault="0020013F" w:rsidP="00F869C3">
            <w:pPr>
              <w:jc w:val="both"/>
            </w:pPr>
            <w:r>
              <w:t>The original commissioned a study by t</w:t>
            </w:r>
            <w:r>
              <w:t xml:space="preserve">he comptroller to identify and evaluate local and state supply chain disruptions caused by the COVID-19 pandemic, whereas the substitute requires a public institution of higher education selected by the comptroller to conduct a study in collaboration with </w:t>
            </w:r>
            <w:r>
              <w:t xml:space="preserve">the </w:t>
            </w:r>
            <w:r w:rsidR="00D05A3F">
              <w:t>THECB</w:t>
            </w:r>
            <w:r>
              <w:t xml:space="preserve"> to identify and evaluate supply chain disruptions caused by both the pandemic and ERCOT power outages</w:t>
            </w:r>
            <w:r w:rsidR="00B52EBF">
              <w:t xml:space="preserve">. The substitute </w:t>
            </w:r>
            <w:r w:rsidR="00B107E9">
              <w:t>makes related changes to the associated report</w:t>
            </w:r>
            <w:r w:rsidR="00B52EBF">
              <w:t xml:space="preserve"> requirement</w:t>
            </w:r>
            <w:r>
              <w:t>.</w:t>
            </w:r>
          </w:p>
          <w:p w14:paraId="7BDA54DB" w14:textId="77777777" w:rsidR="005B047E" w:rsidRDefault="005B047E" w:rsidP="00F869C3">
            <w:pPr>
              <w:jc w:val="both"/>
            </w:pPr>
          </w:p>
          <w:p w14:paraId="23F3EFEC" w14:textId="2151E7EF" w:rsidR="005B047E" w:rsidRDefault="0020013F" w:rsidP="00F869C3">
            <w:pPr>
              <w:jc w:val="both"/>
            </w:pPr>
            <w:r>
              <w:t>The substitute includes the following provisions, which were absent</w:t>
            </w:r>
            <w:r>
              <w:t xml:space="preserve"> from the original:</w:t>
            </w:r>
          </w:p>
          <w:p w14:paraId="62CF4A1A" w14:textId="4F414979" w:rsidR="005B047E" w:rsidRDefault="0020013F" w:rsidP="00F869C3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 xml:space="preserve">a </w:t>
            </w:r>
            <w:r w:rsidR="00B107E9">
              <w:t>specification that</w:t>
            </w:r>
            <w:r>
              <w:t xml:space="preserve"> </w:t>
            </w:r>
            <w:r w:rsidR="00C260D6">
              <w:t xml:space="preserve">the study </w:t>
            </w:r>
            <w:r w:rsidR="00B107E9">
              <w:t xml:space="preserve">is </w:t>
            </w:r>
            <w:r w:rsidR="00C260D6">
              <w:t>to be conducted using available appropriated funds</w:t>
            </w:r>
            <w:r>
              <w:t>;</w:t>
            </w:r>
          </w:p>
          <w:p w14:paraId="126C8874" w14:textId="0AE09F74" w:rsidR="005B047E" w:rsidRDefault="0020013F" w:rsidP="00F869C3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 xml:space="preserve">a requirement for the comptroller, not later than January 1, 2022, to select </w:t>
            </w:r>
            <w:r w:rsidR="00C50D71">
              <w:t>the institution</w:t>
            </w:r>
            <w:r>
              <w:t xml:space="preserve"> to conduct the study; and</w:t>
            </w:r>
          </w:p>
          <w:p w14:paraId="7A905F81" w14:textId="07522BA3" w:rsidR="005B047E" w:rsidRDefault="0020013F" w:rsidP="00F869C3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>a definition of "ERCOT power ou</w:t>
            </w:r>
            <w:r>
              <w:t>tages."</w:t>
            </w:r>
          </w:p>
          <w:p w14:paraId="2C0D18ED" w14:textId="3286D35E" w:rsidR="00C260D6" w:rsidRPr="00C260D6" w:rsidRDefault="00C260D6" w:rsidP="00F869C3">
            <w:pPr>
              <w:jc w:val="both"/>
            </w:pPr>
          </w:p>
        </w:tc>
      </w:tr>
      <w:tr w:rsidR="00046F66" w14:paraId="5BE2BF9E" w14:textId="77777777" w:rsidTr="00345119">
        <w:tc>
          <w:tcPr>
            <w:tcW w:w="9576" w:type="dxa"/>
          </w:tcPr>
          <w:p w14:paraId="75A52754" w14:textId="77777777" w:rsidR="009837BE" w:rsidRPr="009C1E9A" w:rsidRDefault="009837BE" w:rsidP="00F869C3">
            <w:pPr>
              <w:rPr>
                <w:b/>
                <w:u w:val="single"/>
              </w:rPr>
            </w:pPr>
          </w:p>
        </w:tc>
      </w:tr>
      <w:tr w:rsidR="00046F66" w14:paraId="79FC0015" w14:textId="77777777" w:rsidTr="00345119">
        <w:tc>
          <w:tcPr>
            <w:tcW w:w="9576" w:type="dxa"/>
          </w:tcPr>
          <w:p w14:paraId="675D1BAF" w14:textId="77777777" w:rsidR="009837BE" w:rsidRPr="009837BE" w:rsidRDefault="009837BE" w:rsidP="00F869C3">
            <w:pPr>
              <w:jc w:val="both"/>
            </w:pPr>
          </w:p>
        </w:tc>
      </w:tr>
    </w:tbl>
    <w:p w14:paraId="2E3C6B83" w14:textId="77777777" w:rsidR="008423E4" w:rsidRPr="00BE0E75" w:rsidRDefault="008423E4" w:rsidP="00F869C3">
      <w:pPr>
        <w:jc w:val="both"/>
        <w:rPr>
          <w:rFonts w:ascii="Arial" w:hAnsi="Arial"/>
          <w:sz w:val="16"/>
          <w:szCs w:val="16"/>
        </w:rPr>
      </w:pPr>
    </w:p>
    <w:p w14:paraId="5EF55050" w14:textId="77777777" w:rsidR="004108C3" w:rsidRPr="008423E4" w:rsidRDefault="004108C3" w:rsidP="00F869C3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87BBC" w14:textId="77777777" w:rsidR="00000000" w:rsidRDefault="0020013F">
      <w:r>
        <w:separator/>
      </w:r>
    </w:p>
  </w:endnote>
  <w:endnote w:type="continuationSeparator" w:id="0">
    <w:p w14:paraId="46EC23B3" w14:textId="77777777" w:rsidR="00000000" w:rsidRDefault="0020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6021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46F66" w14:paraId="05624AC6" w14:textId="77777777" w:rsidTr="009C1E9A">
      <w:trPr>
        <w:cantSplit/>
      </w:trPr>
      <w:tc>
        <w:tcPr>
          <w:tcW w:w="0" w:type="pct"/>
        </w:tcPr>
        <w:p w14:paraId="260B3B5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7F0454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79DC7D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B08A59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5C6C43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46F66" w14:paraId="4889EBFA" w14:textId="77777777" w:rsidTr="009C1E9A">
      <w:trPr>
        <w:cantSplit/>
      </w:trPr>
      <w:tc>
        <w:tcPr>
          <w:tcW w:w="0" w:type="pct"/>
        </w:tcPr>
        <w:p w14:paraId="26DB4AC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5D0544A" w14:textId="41596A9D" w:rsidR="00EC379B" w:rsidRPr="009C1E9A" w:rsidRDefault="0020013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22065</w:t>
          </w:r>
        </w:p>
      </w:tc>
      <w:tc>
        <w:tcPr>
          <w:tcW w:w="2453" w:type="pct"/>
        </w:tcPr>
        <w:p w14:paraId="643E63DC" w14:textId="0906D12C" w:rsidR="00EC379B" w:rsidRDefault="0020013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E1B7F">
            <w:t>21.115.540</w:t>
          </w:r>
          <w:r>
            <w:fldChar w:fldCharType="end"/>
          </w:r>
        </w:p>
      </w:tc>
    </w:tr>
    <w:tr w:rsidR="00046F66" w14:paraId="05E94574" w14:textId="77777777" w:rsidTr="009C1E9A">
      <w:trPr>
        <w:cantSplit/>
      </w:trPr>
      <w:tc>
        <w:tcPr>
          <w:tcW w:w="0" w:type="pct"/>
        </w:tcPr>
        <w:p w14:paraId="6E2EB5B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0FE8D98" w14:textId="0C944663" w:rsidR="00EC379B" w:rsidRPr="009C1E9A" w:rsidRDefault="0020013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20639</w:t>
          </w:r>
        </w:p>
      </w:tc>
      <w:tc>
        <w:tcPr>
          <w:tcW w:w="2453" w:type="pct"/>
        </w:tcPr>
        <w:p w14:paraId="108ABEC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5C5F23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46F66" w14:paraId="39D5B6F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11A2C16" w14:textId="69E837AF" w:rsidR="00EC379B" w:rsidRDefault="0020013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869C3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441A23A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6D84B7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869E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1F18A" w14:textId="77777777" w:rsidR="00000000" w:rsidRDefault="0020013F">
      <w:r>
        <w:separator/>
      </w:r>
    </w:p>
  </w:footnote>
  <w:footnote w:type="continuationSeparator" w:id="0">
    <w:p w14:paraId="52E883FC" w14:textId="77777777" w:rsidR="00000000" w:rsidRDefault="00200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17DD3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33CA9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AD172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84224"/>
    <w:multiLevelType w:val="hybridMultilevel"/>
    <w:tmpl w:val="49A0DBA8"/>
    <w:lvl w:ilvl="0" w:tplc="E0687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70E0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A810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7031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044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04CD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E260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ACDC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F0FC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55B98"/>
    <w:multiLevelType w:val="hybridMultilevel"/>
    <w:tmpl w:val="626AE710"/>
    <w:lvl w:ilvl="0" w:tplc="EEEEB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8FA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4F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70B1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0076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F225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96E0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2057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8079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EF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16509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6F66"/>
    <w:rsid w:val="0004762E"/>
    <w:rsid w:val="000532BD"/>
    <w:rsid w:val="00055C12"/>
    <w:rsid w:val="000608B0"/>
    <w:rsid w:val="0006104C"/>
    <w:rsid w:val="00061CEF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6203"/>
    <w:rsid w:val="001E2CAD"/>
    <w:rsid w:val="001E34DB"/>
    <w:rsid w:val="001E37CD"/>
    <w:rsid w:val="001E4070"/>
    <w:rsid w:val="001E655E"/>
    <w:rsid w:val="001F3CB8"/>
    <w:rsid w:val="001F6B91"/>
    <w:rsid w:val="001F703C"/>
    <w:rsid w:val="0020013F"/>
    <w:rsid w:val="00200B9E"/>
    <w:rsid w:val="00200BF5"/>
    <w:rsid w:val="002010D1"/>
    <w:rsid w:val="00201338"/>
    <w:rsid w:val="00202D5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25B21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50F6"/>
    <w:rsid w:val="002F7798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2BBB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4708E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1B7F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047E"/>
    <w:rsid w:val="005B10DE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4D73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4A5C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271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5D60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1A82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26C87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7BE"/>
    <w:rsid w:val="00983B56"/>
    <w:rsid w:val="009847FD"/>
    <w:rsid w:val="009851B3"/>
    <w:rsid w:val="00985300"/>
    <w:rsid w:val="00986720"/>
    <w:rsid w:val="00987F00"/>
    <w:rsid w:val="0099403D"/>
    <w:rsid w:val="00995B0B"/>
    <w:rsid w:val="009964C2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C29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7E9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2138"/>
    <w:rsid w:val="00B43672"/>
    <w:rsid w:val="00B473D8"/>
    <w:rsid w:val="00B5165A"/>
    <w:rsid w:val="00B524C1"/>
    <w:rsid w:val="00B52C8D"/>
    <w:rsid w:val="00B52EBF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03A8"/>
    <w:rsid w:val="00C2142B"/>
    <w:rsid w:val="00C22987"/>
    <w:rsid w:val="00C23956"/>
    <w:rsid w:val="00C248E6"/>
    <w:rsid w:val="00C260D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0D71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5A3F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6823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46F"/>
    <w:rsid w:val="00DA0E22"/>
    <w:rsid w:val="00DA1EFA"/>
    <w:rsid w:val="00DA25E7"/>
    <w:rsid w:val="00DA3687"/>
    <w:rsid w:val="00DA39F2"/>
    <w:rsid w:val="00DA564B"/>
    <w:rsid w:val="00DA6A5C"/>
    <w:rsid w:val="00DB0426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07CB6"/>
    <w:rsid w:val="00E1228E"/>
    <w:rsid w:val="00E13374"/>
    <w:rsid w:val="00E14079"/>
    <w:rsid w:val="00E15F90"/>
    <w:rsid w:val="00E160FC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5D64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974E9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869C3"/>
    <w:rsid w:val="00F9522E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A23070-809B-4C3C-9FE9-91F7CF1C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31A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31A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31A8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1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1A82"/>
    <w:rPr>
      <w:b/>
      <w:bCs/>
    </w:rPr>
  </w:style>
  <w:style w:type="paragraph" w:styleId="ListParagraph">
    <w:name w:val="List Paragraph"/>
    <w:basedOn w:val="Normal"/>
    <w:uiPriority w:val="34"/>
    <w:qFormat/>
    <w:rsid w:val="005B047E"/>
    <w:pPr>
      <w:ind w:left="720"/>
      <w:contextualSpacing/>
    </w:pPr>
  </w:style>
  <w:style w:type="paragraph" w:styleId="Revision">
    <w:name w:val="Revision"/>
    <w:hidden/>
    <w:uiPriority w:val="99"/>
    <w:semiHidden/>
    <w:rsid w:val="00202D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678</Words>
  <Characters>3888</Characters>
  <Application>Microsoft Office Word</Application>
  <DocSecurity>4</DocSecurity>
  <Lines>91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HB01923 (Committee Report (Substituted))</vt:lpstr>
    </vt:vector>
  </TitlesOfParts>
  <Company>State of Texas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22065</dc:subject>
  <dc:creator>State of Texas</dc:creator>
  <dc:description>HB 1923 by Thierry-(H)International Relations &amp; Economic Development (Substitute Document Number: 87R 20639)</dc:description>
  <cp:lastModifiedBy>Stacey Nicchio</cp:lastModifiedBy>
  <cp:revision>2</cp:revision>
  <cp:lastPrinted>2003-11-26T17:21:00Z</cp:lastPrinted>
  <dcterms:created xsi:type="dcterms:W3CDTF">2021-04-27T23:43:00Z</dcterms:created>
  <dcterms:modified xsi:type="dcterms:W3CDTF">2021-04-27T23:43:00Z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21.115.540</vt:lpwstr>
  </property>
</Properties>
</file>