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7746A" w14:paraId="1FF6CD78" w14:textId="77777777" w:rsidTr="00345119">
        <w:tc>
          <w:tcPr>
            <w:tcW w:w="9576" w:type="dxa"/>
            <w:noWrap/>
          </w:tcPr>
          <w:p w14:paraId="5BBDEB40" w14:textId="77777777" w:rsidR="008423E4" w:rsidRPr="0022177D" w:rsidRDefault="00B52D58" w:rsidP="00D6149B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A35388D" w14:textId="77777777" w:rsidR="008423E4" w:rsidRPr="00D6149B" w:rsidRDefault="008423E4" w:rsidP="00D6149B">
      <w:pPr>
        <w:jc w:val="center"/>
        <w:rPr>
          <w:sz w:val="20"/>
        </w:rPr>
      </w:pPr>
    </w:p>
    <w:p w14:paraId="46C76FC2" w14:textId="77777777" w:rsidR="008423E4" w:rsidRPr="00D6149B" w:rsidRDefault="008423E4" w:rsidP="00D6149B">
      <w:pPr>
        <w:rPr>
          <w:sz w:val="20"/>
        </w:rPr>
      </w:pPr>
    </w:p>
    <w:p w14:paraId="6C174CF3" w14:textId="77777777" w:rsidR="008423E4" w:rsidRPr="00D6149B" w:rsidRDefault="008423E4" w:rsidP="00D6149B">
      <w:pPr>
        <w:tabs>
          <w:tab w:val="right" w:pos="9360"/>
        </w:tabs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7746A" w14:paraId="16525893" w14:textId="77777777" w:rsidTr="00345119">
        <w:tc>
          <w:tcPr>
            <w:tcW w:w="9576" w:type="dxa"/>
          </w:tcPr>
          <w:p w14:paraId="54F0008F" w14:textId="7052B574" w:rsidR="008423E4" w:rsidRPr="00861995" w:rsidRDefault="00B52D58" w:rsidP="00D6149B">
            <w:pPr>
              <w:jc w:val="right"/>
            </w:pPr>
            <w:r>
              <w:t>C.S.H.B. 1957</w:t>
            </w:r>
          </w:p>
        </w:tc>
      </w:tr>
      <w:tr w:rsidR="0077746A" w14:paraId="1AC1B3FD" w14:textId="77777777" w:rsidTr="00345119">
        <w:tc>
          <w:tcPr>
            <w:tcW w:w="9576" w:type="dxa"/>
          </w:tcPr>
          <w:p w14:paraId="701CC515" w14:textId="51BCE57C" w:rsidR="008423E4" w:rsidRPr="00861995" w:rsidRDefault="00B52D58" w:rsidP="00F01074">
            <w:pPr>
              <w:jc w:val="right"/>
            </w:pPr>
            <w:r>
              <w:t xml:space="preserve">By: </w:t>
            </w:r>
            <w:r w:rsidR="00F01074">
              <w:t>Kuempel</w:t>
            </w:r>
          </w:p>
        </w:tc>
      </w:tr>
      <w:tr w:rsidR="0077746A" w14:paraId="0F628324" w14:textId="77777777" w:rsidTr="00345119">
        <w:tc>
          <w:tcPr>
            <w:tcW w:w="9576" w:type="dxa"/>
          </w:tcPr>
          <w:p w14:paraId="1422A00B" w14:textId="0A9DDC02" w:rsidR="008423E4" w:rsidRPr="00861995" w:rsidRDefault="00B52D58" w:rsidP="00D6149B">
            <w:pPr>
              <w:jc w:val="right"/>
            </w:pPr>
            <w:r>
              <w:t>Licensing &amp; Administrative Procedures</w:t>
            </w:r>
          </w:p>
        </w:tc>
      </w:tr>
      <w:tr w:rsidR="0077746A" w14:paraId="2D969DC6" w14:textId="77777777" w:rsidTr="00345119">
        <w:tc>
          <w:tcPr>
            <w:tcW w:w="9576" w:type="dxa"/>
          </w:tcPr>
          <w:p w14:paraId="514DB7F2" w14:textId="338025B8" w:rsidR="008423E4" w:rsidRDefault="00B52D58" w:rsidP="00D6149B">
            <w:pPr>
              <w:jc w:val="right"/>
            </w:pPr>
            <w:r>
              <w:t>Committee Report (Substituted)</w:t>
            </w:r>
          </w:p>
        </w:tc>
      </w:tr>
    </w:tbl>
    <w:p w14:paraId="062F8D20" w14:textId="77777777" w:rsidR="008423E4" w:rsidRPr="00D6149B" w:rsidRDefault="008423E4" w:rsidP="00D6149B">
      <w:pPr>
        <w:tabs>
          <w:tab w:val="right" w:pos="9360"/>
        </w:tabs>
        <w:rPr>
          <w:sz w:val="20"/>
        </w:rPr>
      </w:pPr>
    </w:p>
    <w:p w14:paraId="6945B015" w14:textId="77777777" w:rsidR="008423E4" w:rsidRPr="00D6149B" w:rsidRDefault="008423E4" w:rsidP="00D6149B">
      <w:pPr>
        <w:rPr>
          <w:sz w:val="20"/>
        </w:rPr>
      </w:pPr>
    </w:p>
    <w:p w14:paraId="3180FCF5" w14:textId="77777777" w:rsidR="008423E4" w:rsidRPr="00D6149B" w:rsidRDefault="008423E4" w:rsidP="00D6149B">
      <w:pPr>
        <w:rPr>
          <w:sz w:val="20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7746A" w14:paraId="050CD243" w14:textId="77777777" w:rsidTr="005471C6">
        <w:tc>
          <w:tcPr>
            <w:tcW w:w="9360" w:type="dxa"/>
          </w:tcPr>
          <w:p w14:paraId="3C7508FD" w14:textId="77777777" w:rsidR="008423E4" w:rsidRPr="00A8133F" w:rsidRDefault="00B52D58" w:rsidP="00D6149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0E69E69" w14:textId="77777777" w:rsidR="008423E4" w:rsidRPr="00D6149B" w:rsidRDefault="008423E4" w:rsidP="00D6149B">
            <w:pPr>
              <w:rPr>
                <w:sz w:val="20"/>
              </w:rPr>
            </w:pPr>
          </w:p>
          <w:p w14:paraId="5A580D71" w14:textId="5C79BF85" w:rsidR="008423E4" w:rsidRDefault="00B52D58" w:rsidP="00D6149B">
            <w:pPr>
              <w:pStyle w:val="Header"/>
              <w:jc w:val="both"/>
            </w:pPr>
            <w:r w:rsidRPr="005471C6">
              <w:t xml:space="preserve">An American </w:t>
            </w:r>
            <w:r w:rsidR="004B27AA">
              <w:t>v</w:t>
            </w:r>
            <w:r w:rsidRPr="005471C6">
              <w:t xml:space="preserve">iticultural </w:t>
            </w:r>
            <w:r w:rsidR="004B27AA">
              <w:t>a</w:t>
            </w:r>
            <w:r w:rsidRPr="005471C6">
              <w:t xml:space="preserve">rea (AVA) is a delineated grape-growing region with specific geographic or climatic </w:t>
            </w:r>
            <w:r w:rsidRPr="005471C6">
              <w:t>features that distinguish it from the surrounding regions and affect how grapes grow there. Using an AVA</w:t>
            </w:r>
            <w:r w:rsidR="003D434E">
              <w:t>,</w:t>
            </w:r>
            <w:r w:rsidRPr="005471C6">
              <w:t xml:space="preserve"> or </w:t>
            </w:r>
            <w:r w:rsidR="00860DB7">
              <w:t>c</w:t>
            </w:r>
            <w:r w:rsidRPr="005471C6">
              <w:t>ounty</w:t>
            </w:r>
            <w:r w:rsidR="003D434E">
              <w:t>, or vineyard</w:t>
            </w:r>
            <w:r w:rsidRPr="005471C6">
              <w:t xml:space="preserve"> designation on a wine label allows wineries to more accurately protect and market the origin of their wines and educates consum</w:t>
            </w:r>
            <w:r w:rsidRPr="005471C6">
              <w:t xml:space="preserve">ers about the place their wine comes from. </w:t>
            </w:r>
            <w:r w:rsidR="00860DB7">
              <w:t>There have been calls for m</w:t>
            </w:r>
            <w:r w:rsidRPr="005471C6">
              <w:t xml:space="preserve">ore stringent standards surrounding the appellation of Texas wines </w:t>
            </w:r>
            <w:r w:rsidR="00860DB7">
              <w:t xml:space="preserve">in order to </w:t>
            </w:r>
            <w:r w:rsidRPr="005471C6">
              <w:t xml:space="preserve">strengthen the image, integrity, and pricing power of Texas as a formidable winemaking region, </w:t>
            </w:r>
            <w:r w:rsidR="00860DB7">
              <w:t xml:space="preserve">which would </w:t>
            </w:r>
            <w:r w:rsidRPr="005471C6">
              <w:t>allow the state to command a greater share of the overall wine consumer market.</w:t>
            </w:r>
            <w:r w:rsidR="006719FE">
              <w:t xml:space="preserve"> C.S.H.B. 1957 seeks to strengthen labeling standards for Texas grown wines. </w:t>
            </w:r>
          </w:p>
          <w:p w14:paraId="7F088615" w14:textId="77777777" w:rsidR="008423E4" w:rsidRPr="00E26B13" w:rsidRDefault="008423E4" w:rsidP="00D6149B">
            <w:pPr>
              <w:rPr>
                <w:b/>
              </w:rPr>
            </w:pPr>
          </w:p>
        </w:tc>
      </w:tr>
      <w:tr w:rsidR="0077746A" w14:paraId="22738EC6" w14:textId="77777777" w:rsidTr="005471C6">
        <w:tc>
          <w:tcPr>
            <w:tcW w:w="9360" w:type="dxa"/>
          </w:tcPr>
          <w:p w14:paraId="57EB06EA" w14:textId="77777777" w:rsidR="0017725B" w:rsidRDefault="00B52D58" w:rsidP="00D6149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E753026" w14:textId="77777777" w:rsidR="0017725B" w:rsidRDefault="0017725B" w:rsidP="00D6149B">
            <w:pPr>
              <w:rPr>
                <w:b/>
                <w:u w:val="single"/>
              </w:rPr>
            </w:pPr>
          </w:p>
          <w:p w14:paraId="20C50649" w14:textId="77777777" w:rsidR="00740ED5" w:rsidRPr="00740ED5" w:rsidRDefault="00B52D58" w:rsidP="00D6149B">
            <w:pPr>
              <w:jc w:val="both"/>
            </w:pPr>
            <w:r>
              <w:t>It is the committee's opinion that this bill does not expressly create a</w:t>
            </w:r>
            <w:r>
              <w:t xml:space="preserve"> criminal offense, increase the punishment for an existing criminal offense or category of offenses, or change the eligibility of a person for community supervision, parole, or mandatory supervision.</w:t>
            </w:r>
          </w:p>
          <w:p w14:paraId="418EE853" w14:textId="77777777" w:rsidR="0017725B" w:rsidRPr="0017725B" w:rsidRDefault="0017725B" w:rsidP="00D6149B">
            <w:pPr>
              <w:rPr>
                <w:b/>
                <w:u w:val="single"/>
              </w:rPr>
            </w:pPr>
          </w:p>
        </w:tc>
      </w:tr>
      <w:tr w:rsidR="0077746A" w14:paraId="3107682D" w14:textId="77777777" w:rsidTr="005471C6">
        <w:tc>
          <w:tcPr>
            <w:tcW w:w="9360" w:type="dxa"/>
          </w:tcPr>
          <w:p w14:paraId="4638F482" w14:textId="77777777" w:rsidR="008423E4" w:rsidRPr="00A8133F" w:rsidRDefault="00B52D58" w:rsidP="00D6149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208EA02" w14:textId="77777777" w:rsidR="008423E4" w:rsidRDefault="008423E4" w:rsidP="00D6149B"/>
          <w:p w14:paraId="7B060CD7" w14:textId="77777777" w:rsidR="00740ED5" w:rsidRDefault="00B52D58" w:rsidP="00D614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</w:t>
            </w:r>
            <w:r>
              <w:t>that this bill does not expressly grant any additional rulemaking authority to a state officer, department, agency, or institution.</w:t>
            </w:r>
          </w:p>
          <w:p w14:paraId="32278433" w14:textId="77777777" w:rsidR="008423E4" w:rsidRPr="00E21FDC" w:rsidRDefault="008423E4" w:rsidP="00D6149B">
            <w:pPr>
              <w:rPr>
                <w:b/>
              </w:rPr>
            </w:pPr>
          </w:p>
        </w:tc>
      </w:tr>
      <w:tr w:rsidR="0077746A" w14:paraId="5CCE52C0" w14:textId="77777777" w:rsidTr="005471C6">
        <w:tc>
          <w:tcPr>
            <w:tcW w:w="9360" w:type="dxa"/>
          </w:tcPr>
          <w:p w14:paraId="0434636A" w14:textId="77777777" w:rsidR="008423E4" w:rsidRPr="00A8133F" w:rsidRDefault="00B52D58" w:rsidP="00D6149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8D67D8C" w14:textId="77777777" w:rsidR="008423E4" w:rsidRDefault="008423E4" w:rsidP="00D6149B"/>
          <w:p w14:paraId="079B4BDD" w14:textId="2EA7B58F" w:rsidR="009C36CD" w:rsidRPr="009C36CD" w:rsidRDefault="00B52D58" w:rsidP="00D614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 w:rsidR="00740ED5">
              <w:t xml:space="preserve">H.B. 1957 amends the Alcoholic Beverage Code to restrict </w:t>
            </w:r>
            <w:r w:rsidR="00E27147">
              <w:t xml:space="preserve">the </w:t>
            </w:r>
            <w:r w:rsidR="00740ED5">
              <w:t xml:space="preserve">use of </w:t>
            </w:r>
            <w:r w:rsidR="007A7B7A">
              <w:t xml:space="preserve">an </w:t>
            </w:r>
            <w:r w:rsidR="00740ED5">
              <w:t xml:space="preserve">appellation of origin indicating that a wine's origin is an American </w:t>
            </w:r>
            <w:r w:rsidR="00740ED5" w:rsidRPr="00740ED5">
              <w:t xml:space="preserve">viticultural area </w:t>
            </w:r>
            <w:r w:rsidR="00E27147">
              <w:t xml:space="preserve">or county </w:t>
            </w:r>
            <w:r w:rsidR="00740ED5" w:rsidRPr="00740ED5">
              <w:t xml:space="preserve">located in </w:t>
            </w:r>
            <w:r w:rsidR="00740ED5">
              <w:t>Texas</w:t>
            </w:r>
            <w:r w:rsidR="00CE1270">
              <w:t>, and</w:t>
            </w:r>
            <w:r w:rsidR="00CB3411">
              <w:t xml:space="preserve"> to restrict</w:t>
            </w:r>
            <w:r w:rsidR="003D13C4">
              <w:t xml:space="preserve"> the use of the name of a specific vineyard in Texas on a wine's label,</w:t>
            </w:r>
            <w:r w:rsidR="00740ED5" w:rsidRPr="00740ED5">
              <w:t xml:space="preserve"> </w:t>
            </w:r>
            <w:r w:rsidR="00740ED5">
              <w:t>to a wine that is otherwise entitled to use the</w:t>
            </w:r>
            <w:r w:rsidR="003D13C4">
              <w:t xml:space="preserve"> appellation</w:t>
            </w:r>
            <w:r w:rsidR="00E86A29">
              <w:t xml:space="preserve"> </w:t>
            </w:r>
            <w:r w:rsidR="003D13C4">
              <w:t xml:space="preserve">or vineyard name </w:t>
            </w:r>
            <w:r w:rsidR="00F021A3">
              <w:t xml:space="preserve">under federal law </w:t>
            </w:r>
            <w:r w:rsidR="00740ED5">
              <w:t xml:space="preserve">and that is </w:t>
            </w:r>
            <w:r w:rsidR="00740ED5" w:rsidRPr="00740ED5">
              <w:t xml:space="preserve">100 percent by volume fermented juice of grapes or other fruit grown in </w:t>
            </w:r>
            <w:r w:rsidR="00740ED5">
              <w:t>Texas.</w:t>
            </w:r>
            <w:r w:rsidR="00F021A3">
              <w:t xml:space="preserve"> </w:t>
            </w:r>
            <w:r w:rsidR="00450288">
              <w:t xml:space="preserve">The bill </w:t>
            </w:r>
            <w:r w:rsidR="00450288" w:rsidRPr="00450288">
              <w:t>applies only to a wine made from grapes or other fruit harvested on or after January 1, 2022.</w:t>
            </w:r>
          </w:p>
          <w:p w14:paraId="6BBA1541" w14:textId="77777777" w:rsidR="008423E4" w:rsidRPr="00835628" w:rsidRDefault="008423E4" w:rsidP="00D6149B">
            <w:pPr>
              <w:rPr>
                <w:b/>
              </w:rPr>
            </w:pPr>
          </w:p>
        </w:tc>
      </w:tr>
      <w:tr w:rsidR="0077746A" w14:paraId="3A97A713" w14:textId="77777777" w:rsidTr="005471C6">
        <w:tc>
          <w:tcPr>
            <w:tcW w:w="9360" w:type="dxa"/>
          </w:tcPr>
          <w:p w14:paraId="72497E91" w14:textId="77777777" w:rsidR="008423E4" w:rsidRPr="00A8133F" w:rsidRDefault="00B52D58" w:rsidP="00D6149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08897352" w14:textId="77777777" w:rsidR="008423E4" w:rsidRDefault="008423E4" w:rsidP="00D6149B"/>
          <w:p w14:paraId="1C19C0F8" w14:textId="77777777" w:rsidR="008423E4" w:rsidRPr="003624F2" w:rsidRDefault="00B52D58" w:rsidP="00D6149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</w:t>
            </w:r>
            <w:r>
              <w:t>ptember 1, 2021.</w:t>
            </w:r>
          </w:p>
          <w:p w14:paraId="230CBC11" w14:textId="77777777" w:rsidR="008423E4" w:rsidRPr="00233FDB" w:rsidRDefault="008423E4" w:rsidP="00D6149B">
            <w:pPr>
              <w:rPr>
                <w:b/>
              </w:rPr>
            </w:pPr>
          </w:p>
        </w:tc>
      </w:tr>
      <w:tr w:rsidR="0077746A" w14:paraId="2E57DEF4" w14:textId="77777777" w:rsidTr="005471C6">
        <w:tc>
          <w:tcPr>
            <w:tcW w:w="9360" w:type="dxa"/>
          </w:tcPr>
          <w:p w14:paraId="19E65872" w14:textId="77777777" w:rsidR="00F01074" w:rsidRDefault="00B52D58" w:rsidP="00F01074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11C78577" w14:textId="09CD0931" w:rsidR="002E6142" w:rsidRPr="00F01074" w:rsidRDefault="002E6142" w:rsidP="00F01074">
            <w:pPr>
              <w:jc w:val="both"/>
              <w:rPr>
                <w:b/>
                <w:u w:val="single"/>
              </w:rPr>
            </w:pPr>
          </w:p>
        </w:tc>
      </w:tr>
      <w:tr w:rsidR="0077746A" w14:paraId="54D4AB77" w14:textId="77777777" w:rsidTr="005471C6">
        <w:tc>
          <w:tcPr>
            <w:tcW w:w="9360" w:type="dxa"/>
          </w:tcPr>
          <w:p w14:paraId="7448BBEF" w14:textId="77777777" w:rsidR="00730862" w:rsidRDefault="00B52D58" w:rsidP="00730862">
            <w:pPr>
              <w:jc w:val="both"/>
            </w:pPr>
            <w:r>
              <w:t>While C.S.H.B. 1957 may differ from the original in minor or nonsubstantive</w:t>
            </w:r>
            <w:r>
              <w:t xml:space="preserve"> ways, the following summarizes the substantial differences between the introduced and committee substitute versions of the bill.</w:t>
            </w:r>
          </w:p>
          <w:p w14:paraId="255EA67A" w14:textId="77777777" w:rsidR="00730862" w:rsidRDefault="00730862" w:rsidP="00730862">
            <w:pPr>
              <w:jc w:val="both"/>
            </w:pPr>
          </w:p>
          <w:p w14:paraId="3B256A77" w14:textId="77777777" w:rsidR="00730862" w:rsidRDefault="00B52D58" w:rsidP="00730862">
            <w:pPr>
              <w:jc w:val="both"/>
            </w:pPr>
            <w:r>
              <w:t xml:space="preserve">With respect to the bill's restriction on the use of appellation of origin, the substitute does not include the following requirements: </w:t>
            </w:r>
          </w:p>
          <w:p w14:paraId="25723066" w14:textId="77777777" w:rsidR="00730862" w:rsidRDefault="00B52D58" w:rsidP="00730862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that not less than 90 percent of </w:t>
            </w:r>
            <w:r w:rsidRPr="00971C76">
              <w:t>the wine</w:t>
            </w:r>
            <w:r>
              <w:t xml:space="preserve"> be derived from grapes grown within the boundaries of the labeled American vi</w:t>
            </w:r>
            <w:r>
              <w:t xml:space="preserve">ticultural area or county; and </w:t>
            </w:r>
          </w:p>
          <w:p w14:paraId="28B77260" w14:textId="77777777" w:rsidR="00730862" w:rsidRDefault="00B52D58" w:rsidP="00730862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 xml:space="preserve">that the wine be fully produced in Texas. </w:t>
            </w:r>
          </w:p>
          <w:p w14:paraId="20ABA4FE" w14:textId="77777777" w:rsidR="00730862" w:rsidRDefault="00730862" w:rsidP="00730862">
            <w:pPr>
              <w:jc w:val="both"/>
            </w:pPr>
          </w:p>
          <w:p w14:paraId="73E56F20" w14:textId="77777777" w:rsidR="00730862" w:rsidRDefault="00B52D58" w:rsidP="00730862">
            <w:pPr>
              <w:jc w:val="both"/>
            </w:pPr>
            <w:r>
              <w:t xml:space="preserve">The substitute includes a provision restricting the use of the name of a specific vineyard in Texas on the label of wine. </w:t>
            </w:r>
          </w:p>
          <w:p w14:paraId="43E50A13" w14:textId="77777777" w:rsidR="00730862" w:rsidRDefault="00730862" w:rsidP="00730862">
            <w:pPr>
              <w:jc w:val="both"/>
            </w:pPr>
          </w:p>
          <w:p w14:paraId="7BFDDB58" w14:textId="44C040A9" w:rsidR="00F01074" w:rsidRDefault="00B52D58" w:rsidP="00730862">
            <w:pPr>
              <w:jc w:val="both"/>
              <w:rPr>
                <w:b/>
                <w:u w:val="single"/>
              </w:rPr>
            </w:pPr>
            <w:r>
              <w:t>The substitute changes the applicability of the bill's p</w:t>
            </w:r>
            <w:r>
              <w:t>rovisions from wines labeled on or after September 1, 2021, to wines made from grapes or other fruit harvested on or after January 1, 2022.</w:t>
            </w:r>
          </w:p>
        </w:tc>
      </w:tr>
      <w:tr w:rsidR="0077746A" w14:paraId="35F248AE" w14:textId="77777777" w:rsidTr="005471C6">
        <w:tc>
          <w:tcPr>
            <w:tcW w:w="9360" w:type="dxa"/>
          </w:tcPr>
          <w:p w14:paraId="38FBFBA9" w14:textId="77777777" w:rsidR="00F01074" w:rsidRPr="00F01074" w:rsidRDefault="00F01074" w:rsidP="00F01074">
            <w:pPr>
              <w:spacing w:line="480" w:lineRule="auto"/>
              <w:jc w:val="both"/>
            </w:pPr>
          </w:p>
        </w:tc>
      </w:tr>
      <w:tr w:rsidR="0077746A" w14:paraId="007C61BC" w14:textId="77777777" w:rsidTr="005471C6">
        <w:tc>
          <w:tcPr>
            <w:tcW w:w="9360" w:type="dxa"/>
          </w:tcPr>
          <w:p w14:paraId="3319D13A" w14:textId="77777777" w:rsidR="00F01074" w:rsidRDefault="00F01074" w:rsidP="00D6149B">
            <w:pPr>
              <w:jc w:val="both"/>
              <w:rPr>
                <w:b/>
                <w:u w:val="single"/>
              </w:rPr>
            </w:pPr>
          </w:p>
        </w:tc>
      </w:tr>
    </w:tbl>
    <w:p w14:paraId="66F16801" w14:textId="77777777" w:rsidR="008423E4" w:rsidRPr="00BE0E75" w:rsidRDefault="008423E4" w:rsidP="00D6149B">
      <w:pPr>
        <w:jc w:val="both"/>
        <w:rPr>
          <w:rFonts w:ascii="Arial" w:hAnsi="Arial"/>
          <w:sz w:val="16"/>
          <w:szCs w:val="16"/>
        </w:rPr>
      </w:pPr>
    </w:p>
    <w:p w14:paraId="562FE1FA" w14:textId="77777777" w:rsidR="004108C3" w:rsidRPr="008423E4" w:rsidRDefault="004108C3" w:rsidP="00D6149B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C9F19" w14:textId="77777777" w:rsidR="00000000" w:rsidRDefault="00B52D58">
      <w:r>
        <w:separator/>
      </w:r>
    </w:p>
  </w:endnote>
  <w:endnote w:type="continuationSeparator" w:id="0">
    <w:p w14:paraId="378ACECE" w14:textId="77777777" w:rsidR="00000000" w:rsidRDefault="00B5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8F3CD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7746A" w14:paraId="53469307" w14:textId="77777777" w:rsidTr="009C1E9A">
      <w:trPr>
        <w:cantSplit/>
      </w:trPr>
      <w:tc>
        <w:tcPr>
          <w:tcW w:w="0" w:type="pct"/>
        </w:tcPr>
        <w:p w14:paraId="409E0A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9FCF9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8F39DBD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4F7350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ABB01F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746A" w14:paraId="2C72C0D2" w14:textId="77777777" w:rsidTr="009C1E9A">
      <w:trPr>
        <w:cantSplit/>
      </w:trPr>
      <w:tc>
        <w:tcPr>
          <w:tcW w:w="0" w:type="pct"/>
        </w:tcPr>
        <w:p w14:paraId="558365E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CE86FFC" w14:textId="2498D18A" w:rsidR="00EC379B" w:rsidRPr="009C1E9A" w:rsidRDefault="00B52D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17795</w:t>
          </w:r>
        </w:p>
      </w:tc>
      <w:tc>
        <w:tcPr>
          <w:tcW w:w="2453" w:type="pct"/>
        </w:tcPr>
        <w:p w14:paraId="6C1CEB10" w14:textId="7C11C651" w:rsidR="00EC379B" w:rsidRDefault="00B52D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93935">
            <w:t>21.89.733</w:t>
          </w:r>
          <w:r>
            <w:fldChar w:fldCharType="end"/>
          </w:r>
        </w:p>
      </w:tc>
    </w:tr>
    <w:tr w:rsidR="0077746A" w14:paraId="69457E50" w14:textId="77777777" w:rsidTr="009C1E9A">
      <w:trPr>
        <w:cantSplit/>
      </w:trPr>
      <w:tc>
        <w:tcPr>
          <w:tcW w:w="0" w:type="pct"/>
        </w:tcPr>
        <w:p w14:paraId="495C037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69FCE701" w14:textId="53D1DEC2" w:rsidR="00EC379B" w:rsidRPr="009C1E9A" w:rsidRDefault="00B52D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16451</w:t>
          </w:r>
        </w:p>
      </w:tc>
      <w:tc>
        <w:tcPr>
          <w:tcW w:w="2453" w:type="pct"/>
        </w:tcPr>
        <w:p w14:paraId="2637133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9E8F68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7746A" w14:paraId="29957430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A0BBFE5" w14:textId="0A24CB1C" w:rsidR="00EC379B" w:rsidRDefault="00B52D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1D20B6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1FCD7F3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59712C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AA85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73FA56" w14:textId="77777777" w:rsidR="00000000" w:rsidRDefault="00B52D58">
      <w:r>
        <w:separator/>
      </w:r>
    </w:p>
  </w:footnote>
  <w:footnote w:type="continuationSeparator" w:id="0">
    <w:p w14:paraId="3C2A0790" w14:textId="77777777" w:rsidR="00000000" w:rsidRDefault="00B52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E7DA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D1CF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3E82B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2F6"/>
    <w:multiLevelType w:val="hybridMultilevel"/>
    <w:tmpl w:val="70166BE4"/>
    <w:lvl w:ilvl="0" w:tplc="2082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D6C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477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E29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0FD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7EA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C11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0BE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22B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D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3F36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935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2BE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0B6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1716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6142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20E1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3C4"/>
    <w:rsid w:val="003D434E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827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288"/>
    <w:rsid w:val="00450561"/>
    <w:rsid w:val="00450A40"/>
    <w:rsid w:val="00451D7C"/>
    <w:rsid w:val="00452FC3"/>
    <w:rsid w:val="00455936"/>
    <w:rsid w:val="00455ACE"/>
    <w:rsid w:val="00461B69"/>
    <w:rsid w:val="00462B3D"/>
    <w:rsid w:val="004664AC"/>
    <w:rsid w:val="00467D79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27AA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B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210A"/>
    <w:rsid w:val="005336BD"/>
    <w:rsid w:val="00534A49"/>
    <w:rsid w:val="005363BB"/>
    <w:rsid w:val="00541B98"/>
    <w:rsid w:val="00543374"/>
    <w:rsid w:val="00545548"/>
    <w:rsid w:val="00546923"/>
    <w:rsid w:val="005471C6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54C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19FE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862"/>
    <w:rsid w:val="0073163C"/>
    <w:rsid w:val="00731DE3"/>
    <w:rsid w:val="00735B9D"/>
    <w:rsid w:val="007365A5"/>
    <w:rsid w:val="00736FB0"/>
    <w:rsid w:val="007404BC"/>
    <w:rsid w:val="00740D13"/>
    <w:rsid w:val="00740ED5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46A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B7A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3E7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0DB7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9BB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684A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07B7"/>
    <w:rsid w:val="0096482F"/>
    <w:rsid w:val="00964E3A"/>
    <w:rsid w:val="00967126"/>
    <w:rsid w:val="00970EAE"/>
    <w:rsid w:val="00971627"/>
    <w:rsid w:val="00971C76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438"/>
    <w:rsid w:val="009C6B08"/>
    <w:rsid w:val="009C70FC"/>
    <w:rsid w:val="009D002B"/>
    <w:rsid w:val="009D37C7"/>
    <w:rsid w:val="009D4BBD"/>
    <w:rsid w:val="009D5A41"/>
    <w:rsid w:val="009E00BA"/>
    <w:rsid w:val="009E13BF"/>
    <w:rsid w:val="009E3631"/>
    <w:rsid w:val="009E3EB9"/>
    <w:rsid w:val="009E69C2"/>
    <w:rsid w:val="009E70AF"/>
    <w:rsid w:val="009E7AEB"/>
    <w:rsid w:val="009F1B37"/>
    <w:rsid w:val="009F4545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47C7A"/>
    <w:rsid w:val="00A50CDB"/>
    <w:rsid w:val="00A51F3E"/>
    <w:rsid w:val="00A5364B"/>
    <w:rsid w:val="00A54142"/>
    <w:rsid w:val="00A54C42"/>
    <w:rsid w:val="00A572B1"/>
    <w:rsid w:val="00A577AF"/>
    <w:rsid w:val="00A60177"/>
    <w:rsid w:val="00A615C1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0809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2D58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847E5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C6CE7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47B8E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77621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5D2"/>
    <w:rsid w:val="00CA5E5E"/>
    <w:rsid w:val="00CA7D7B"/>
    <w:rsid w:val="00CB0131"/>
    <w:rsid w:val="00CB0AE4"/>
    <w:rsid w:val="00CB0C21"/>
    <w:rsid w:val="00CB0D1A"/>
    <w:rsid w:val="00CB3411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1270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1FA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49B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4AF2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63F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147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38B0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A29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074"/>
    <w:rsid w:val="00F01DFA"/>
    <w:rsid w:val="00F02096"/>
    <w:rsid w:val="00F021A3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0A74F7-EC0B-44A8-9792-CC9BB5D7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40E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0E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0ED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0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0ED5"/>
    <w:rPr>
      <w:b/>
      <w:bCs/>
    </w:rPr>
  </w:style>
  <w:style w:type="paragraph" w:styleId="ListParagraph">
    <w:name w:val="List Paragraph"/>
    <w:basedOn w:val="Normal"/>
    <w:uiPriority w:val="34"/>
    <w:qFormat/>
    <w:rsid w:val="00A615C1"/>
    <w:pPr>
      <w:ind w:left="720"/>
      <w:contextualSpacing/>
    </w:pPr>
  </w:style>
  <w:style w:type="character" w:styleId="Hyperlink">
    <w:name w:val="Hyperlink"/>
    <w:basedOn w:val="DefaultParagraphFont"/>
    <w:unhideWhenUsed/>
    <w:rsid w:val="00A615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A7B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2428</Characters>
  <Application>Microsoft Office Word</Application>
  <DocSecurity>4</DocSecurity>
  <Lines>68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HB01957 (Committee Report (Substituted))</vt:lpstr>
    </vt:vector>
  </TitlesOfParts>
  <Company>State of Texas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17795</dc:subject>
  <dc:creator>State of Texas</dc:creator>
  <dc:description>HB 1957 by Kuempel-(H)Licensing &amp; Administrative Procedures (Substitute Document Number: 87R 16451)</dc:description>
  <cp:lastModifiedBy>Lauren Bustamente</cp:lastModifiedBy>
  <cp:revision>2</cp:revision>
  <cp:lastPrinted>2003-11-26T17:21:00Z</cp:lastPrinted>
  <dcterms:created xsi:type="dcterms:W3CDTF">2021-03-31T17:06:00Z</dcterms:created>
  <dcterms:modified xsi:type="dcterms:W3CDTF">2021-03-31T17:06:00Z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21.89.733</vt:lpwstr>
  </property>
</Properties>
</file>