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C183A" w14:paraId="11FA3821" w14:textId="77777777" w:rsidTr="00345119">
        <w:tc>
          <w:tcPr>
            <w:tcW w:w="9576" w:type="dxa"/>
            <w:noWrap/>
          </w:tcPr>
          <w:p w14:paraId="5DAB5C21" w14:textId="77777777" w:rsidR="008423E4" w:rsidRPr="0022177D" w:rsidRDefault="0044000A" w:rsidP="00ED23C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48112C" w14:textId="77777777" w:rsidR="008423E4" w:rsidRPr="0022177D" w:rsidRDefault="008423E4" w:rsidP="00ED23CE">
      <w:pPr>
        <w:jc w:val="center"/>
      </w:pPr>
    </w:p>
    <w:p w14:paraId="32C78DE4" w14:textId="77777777" w:rsidR="008423E4" w:rsidRPr="00B31F0E" w:rsidRDefault="008423E4" w:rsidP="00ED23CE"/>
    <w:p w14:paraId="2C9B338E" w14:textId="77777777" w:rsidR="008423E4" w:rsidRPr="00742794" w:rsidRDefault="008423E4" w:rsidP="00ED23C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183A" w14:paraId="2AB25FE6" w14:textId="77777777" w:rsidTr="00345119">
        <w:tc>
          <w:tcPr>
            <w:tcW w:w="9576" w:type="dxa"/>
          </w:tcPr>
          <w:p w14:paraId="59158C40" w14:textId="002ED946" w:rsidR="008423E4" w:rsidRPr="00861995" w:rsidRDefault="0044000A" w:rsidP="00ED23CE">
            <w:pPr>
              <w:jc w:val="right"/>
            </w:pPr>
            <w:r>
              <w:t>C.S.H.B. 1970</w:t>
            </w:r>
          </w:p>
        </w:tc>
      </w:tr>
      <w:tr w:rsidR="007C183A" w14:paraId="14EFE17E" w14:textId="77777777" w:rsidTr="00345119">
        <w:tc>
          <w:tcPr>
            <w:tcW w:w="9576" w:type="dxa"/>
          </w:tcPr>
          <w:p w14:paraId="1815BC92" w14:textId="4211B56C" w:rsidR="008423E4" w:rsidRPr="00861995" w:rsidRDefault="0044000A" w:rsidP="00ED23CE">
            <w:pPr>
              <w:jc w:val="right"/>
            </w:pPr>
            <w:r>
              <w:t xml:space="preserve">By: </w:t>
            </w:r>
            <w:r w:rsidR="00C263C8">
              <w:t>Shaheen</w:t>
            </w:r>
          </w:p>
        </w:tc>
      </w:tr>
      <w:tr w:rsidR="007C183A" w14:paraId="0EFCA919" w14:textId="77777777" w:rsidTr="00345119">
        <w:tc>
          <w:tcPr>
            <w:tcW w:w="9576" w:type="dxa"/>
          </w:tcPr>
          <w:p w14:paraId="51AA57F1" w14:textId="25750529" w:rsidR="008423E4" w:rsidRPr="00861995" w:rsidRDefault="0044000A" w:rsidP="00ED23CE">
            <w:pPr>
              <w:jc w:val="right"/>
            </w:pPr>
            <w:r>
              <w:t>Business &amp; Industry</w:t>
            </w:r>
          </w:p>
        </w:tc>
      </w:tr>
      <w:tr w:rsidR="007C183A" w14:paraId="442AA643" w14:textId="77777777" w:rsidTr="00345119">
        <w:tc>
          <w:tcPr>
            <w:tcW w:w="9576" w:type="dxa"/>
          </w:tcPr>
          <w:p w14:paraId="0DEFD0D1" w14:textId="3F05E2AC" w:rsidR="008423E4" w:rsidRDefault="0044000A" w:rsidP="00ED23CE">
            <w:pPr>
              <w:jc w:val="right"/>
            </w:pPr>
            <w:r>
              <w:t>Committee Report (Substituted)</w:t>
            </w:r>
          </w:p>
        </w:tc>
      </w:tr>
    </w:tbl>
    <w:p w14:paraId="333924FE" w14:textId="77777777" w:rsidR="008423E4" w:rsidRDefault="008423E4" w:rsidP="00ED23CE">
      <w:pPr>
        <w:tabs>
          <w:tab w:val="right" w:pos="9360"/>
        </w:tabs>
      </w:pPr>
    </w:p>
    <w:p w14:paraId="324CF725" w14:textId="77777777" w:rsidR="008423E4" w:rsidRDefault="008423E4" w:rsidP="00ED23CE"/>
    <w:p w14:paraId="4DB21C3C" w14:textId="77777777" w:rsidR="008423E4" w:rsidRDefault="008423E4" w:rsidP="00ED23C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C183A" w14:paraId="0E569AB7" w14:textId="77777777" w:rsidTr="00345119">
        <w:tc>
          <w:tcPr>
            <w:tcW w:w="9576" w:type="dxa"/>
          </w:tcPr>
          <w:p w14:paraId="44F202D0" w14:textId="77777777" w:rsidR="008423E4" w:rsidRPr="00A8133F" w:rsidRDefault="0044000A" w:rsidP="00ED23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362B750" w14:textId="77777777" w:rsidR="008423E4" w:rsidRDefault="008423E4" w:rsidP="00ED23CE"/>
          <w:p w14:paraId="44FA17C3" w14:textId="77777777" w:rsidR="008423E4" w:rsidRDefault="0044000A" w:rsidP="00ED23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over reports of property owners' associations levying large fines against property owners that do not </w:t>
            </w:r>
            <w:r>
              <w:t>correspond with the severity of the violation in question.</w:t>
            </w:r>
            <w:r w:rsidR="009146CA" w:rsidRPr="009146CA">
              <w:t xml:space="preserve"> </w:t>
            </w:r>
            <w:r>
              <w:t>C.S.</w:t>
            </w:r>
            <w:r w:rsidR="009146CA" w:rsidRPr="009146CA">
              <w:t xml:space="preserve">H.B. 1970 </w:t>
            </w:r>
            <w:r>
              <w:t xml:space="preserve">seeks to </w:t>
            </w:r>
            <w:r w:rsidR="009146CA" w:rsidRPr="009146CA">
              <w:t xml:space="preserve">address these concerns by requiring fines assessed by </w:t>
            </w:r>
            <w:r>
              <w:t>a property owners' association to</w:t>
            </w:r>
            <w:r w:rsidR="009146CA" w:rsidRPr="009146CA">
              <w:t xml:space="preserve"> be reasonable </w:t>
            </w:r>
            <w:r>
              <w:t xml:space="preserve">and </w:t>
            </w:r>
            <w:r w:rsidR="00885519">
              <w:t xml:space="preserve">by </w:t>
            </w:r>
            <w:r w:rsidR="009A1A23">
              <w:t xml:space="preserve">providing for transparency regarding the fines and related violations. </w:t>
            </w:r>
          </w:p>
          <w:p w14:paraId="40D0338E" w14:textId="6F8E665E" w:rsidR="00ED23CE" w:rsidRPr="00E26B13" w:rsidRDefault="00ED23CE" w:rsidP="00ED23C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C183A" w14:paraId="2D421A0A" w14:textId="77777777" w:rsidTr="00345119">
        <w:tc>
          <w:tcPr>
            <w:tcW w:w="9576" w:type="dxa"/>
          </w:tcPr>
          <w:p w14:paraId="2B7A26F0" w14:textId="77777777" w:rsidR="0017725B" w:rsidRDefault="0044000A" w:rsidP="00ED23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8349178" w14:textId="77777777" w:rsidR="0017725B" w:rsidRDefault="0017725B" w:rsidP="00ED23CE">
            <w:pPr>
              <w:rPr>
                <w:b/>
                <w:u w:val="single"/>
              </w:rPr>
            </w:pPr>
          </w:p>
          <w:p w14:paraId="63BD589F" w14:textId="77777777" w:rsidR="00A27B8F" w:rsidRPr="00A27B8F" w:rsidRDefault="0044000A" w:rsidP="00ED23C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14:paraId="71FDB628" w14:textId="77777777" w:rsidR="0017725B" w:rsidRPr="0017725B" w:rsidRDefault="0017725B" w:rsidP="00ED23CE">
            <w:pPr>
              <w:rPr>
                <w:b/>
                <w:u w:val="single"/>
              </w:rPr>
            </w:pPr>
          </w:p>
        </w:tc>
      </w:tr>
      <w:tr w:rsidR="007C183A" w14:paraId="6CB20DC9" w14:textId="77777777" w:rsidTr="00345119">
        <w:tc>
          <w:tcPr>
            <w:tcW w:w="9576" w:type="dxa"/>
          </w:tcPr>
          <w:p w14:paraId="5BEDAEB3" w14:textId="77777777" w:rsidR="008423E4" w:rsidRPr="00A8133F" w:rsidRDefault="0044000A" w:rsidP="00ED23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853E44A" w14:textId="77777777" w:rsidR="008423E4" w:rsidRDefault="008423E4" w:rsidP="00ED23CE"/>
          <w:p w14:paraId="5569CDDD" w14:textId="77777777" w:rsidR="00A27B8F" w:rsidRDefault="0044000A" w:rsidP="00ED23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70B6F1A" w14:textId="77777777" w:rsidR="008423E4" w:rsidRPr="00E21FDC" w:rsidRDefault="008423E4" w:rsidP="00ED23CE">
            <w:pPr>
              <w:rPr>
                <w:b/>
              </w:rPr>
            </w:pPr>
          </w:p>
        </w:tc>
      </w:tr>
      <w:tr w:rsidR="007C183A" w14:paraId="0921B9A6" w14:textId="77777777" w:rsidTr="00345119">
        <w:tc>
          <w:tcPr>
            <w:tcW w:w="9576" w:type="dxa"/>
          </w:tcPr>
          <w:p w14:paraId="05C7D3F4" w14:textId="77777777" w:rsidR="008423E4" w:rsidRPr="00A8133F" w:rsidRDefault="0044000A" w:rsidP="00ED23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E1AFBE6" w14:textId="77777777" w:rsidR="008423E4" w:rsidRDefault="008423E4" w:rsidP="00ED23CE"/>
          <w:p w14:paraId="4C3E929A" w14:textId="64DBC2B0" w:rsidR="0050340B" w:rsidRDefault="0044000A" w:rsidP="00ED23CE">
            <w:pPr>
              <w:pStyle w:val="Header"/>
              <w:jc w:val="both"/>
            </w:pPr>
            <w:r>
              <w:t>C.S.</w:t>
            </w:r>
            <w:r>
              <w:t>H.B. 1970 amends the Property Code to require a property owners' association board to adopt an enforcement policy regarding the levying of fines by the association. The policy must include the following:</w:t>
            </w:r>
          </w:p>
          <w:p w14:paraId="25BD76B5" w14:textId="78A29F95" w:rsidR="00843334" w:rsidRDefault="0044000A" w:rsidP="00ED23C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each category of restrictive covenants for which the</w:t>
            </w:r>
            <w:r>
              <w:t xml:space="preserve"> association may assess a reasonable fine</w:t>
            </w:r>
            <w:r w:rsidR="002C5114">
              <w:t>,</w:t>
            </w:r>
            <w:r>
              <w:t xml:space="preserve"> including:</w:t>
            </w:r>
          </w:p>
          <w:p w14:paraId="3996B3CF" w14:textId="77777777" w:rsidR="00843334" w:rsidRDefault="0044000A" w:rsidP="00ED23CE">
            <w:pPr>
              <w:pStyle w:val="Header"/>
              <w:numPr>
                <w:ilvl w:val="1"/>
                <w:numId w:val="1"/>
              </w:numPr>
              <w:jc w:val="both"/>
            </w:pPr>
            <w:r>
              <w:t>property maintenance and repair;</w:t>
            </w:r>
          </w:p>
          <w:p w14:paraId="1EBC7534" w14:textId="77777777" w:rsidR="00843334" w:rsidRDefault="0044000A" w:rsidP="00ED23CE">
            <w:pPr>
              <w:pStyle w:val="Header"/>
              <w:numPr>
                <w:ilvl w:val="1"/>
                <w:numId w:val="1"/>
              </w:numPr>
              <w:jc w:val="both"/>
            </w:pPr>
            <w:r>
              <w:t>individual misconduct; and</w:t>
            </w:r>
          </w:p>
          <w:p w14:paraId="178AF4F1" w14:textId="2B9EEA59" w:rsidR="0050340B" w:rsidRDefault="0044000A" w:rsidP="00ED23CE">
            <w:pPr>
              <w:pStyle w:val="Header"/>
              <w:numPr>
                <w:ilvl w:val="1"/>
                <w:numId w:val="1"/>
              </w:numPr>
              <w:jc w:val="both"/>
            </w:pPr>
            <w:r>
              <w:t>matters affecting health and safety;</w:t>
            </w:r>
          </w:p>
          <w:p w14:paraId="48E3709B" w14:textId="3D310D81" w:rsidR="0050340B" w:rsidRDefault="0044000A" w:rsidP="00ED23C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schedule of the fine for each category of violation; and</w:t>
            </w:r>
          </w:p>
          <w:p w14:paraId="5863C6D8" w14:textId="1DDFF1E5" w:rsidR="009C36CD" w:rsidRDefault="0044000A" w:rsidP="00ED23C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information regarding hearin</w:t>
            </w:r>
            <w:r w:rsidR="00B57E1A">
              <w:t xml:space="preserve">gs before the board to discuss and </w:t>
            </w:r>
            <w:r>
              <w:t>verify</w:t>
            </w:r>
            <w:r w:rsidR="00B57E1A">
              <w:t xml:space="preserve"> facts</w:t>
            </w:r>
            <w:r>
              <w:t xml:space="preserve"> and resolve a violation.</w:t>
            </w:r>
          </w:p>
          <w:p w14:paraId="06D032D3" w14:textId="334FA47A" w:rsidR="0050340B" w:rsidRDefault="0044000A" w:rsidP="00ED23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0340B">
              <w:t>The</w:t>
            </w:r>
            <w:r w:rsidR="00843334">
              <w:t xml:space="preserve"> enforcement policy may reserve the board's authority to levy a fine from the schedule of fines that varies on a case-by-case basis</w:t>
            </w:r>
            <w:r>
              <w:t>.</w:t>
            </w:r>
          </w:p>
          <w:p w14:paraId="7C3A80C5" w14:textId="77777777" w:rsidR="0050340B" w:rsidRDefault="0050340B" w:rsidP="00ED23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6B07A4" w14:textId="70EA7409" w:rsidR="0050340B" w:rsidRDefault="0044000A" w:rsidP="00ED23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1970 requires each property owners' association to do t</w:t>
            </w:r>
            <w:r>
              <w:t>he following</w:t>
            </w:r>
            <w:r w:rsidR="0046100A">
              <w:t xml:space="preserve"> with respect to the enforcement policy</w:t>
            </w:r>
            <w:r>
              <w:t>:</w:t>
            </w:r>
          </w:p>
          <w:p w14:paraId="04110502" w14:textId="11659E56" w:rsidR="0050340B" w:rsidRDefault="0044000A" w:rsidP="00ED23C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file a copy of the policy, and each subsequent amendment, with the county clerk of each county in which the subdivision is located;</w:t>
            </w:r>
          </w:p>
          <w:p w14:paraId="7E0B43F8" w14:textId="77777777" w:rsidR="00843334" w:rsidRDefault="0044000A" w:rsidP="00ED23C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provide a copy of the policy to an owner of each property in the subdiv</w:t>
            </w:r>
            <w:r>
              <w:t xml:space="preserve">ision by: </w:t>
            </w:r>
          </w:p>
          <w:p w14:paraId="3AEF89C9" w14:textId="77777777" w:rsidR="00843334" w:rsidRDefault="0044000A" w:rsidP="00ED23CE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posting the policy on a website maintained by the association or an agent acting on the association's behalf and accessible to association members; or </w:t>
            </w:r>
          </w:p>
          <w:p w14:paraId="39AE02A5" w14:textId="77777777" w:rsidR="00843334" w:rsidRDefault="0044000A" w:rsidP="00ED23CE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annually sending a copy of the policy, separately or included in routine communication from </w:t>
            </w:r>
            <w:r>
              <w:t>the association to property owners, by personal delivery, mail, or email in the manner prescribed by the bill; and</w:t>
            </w:r>
          </w:p>
          <w:p w14:paraId="1BF9DCE5" w14:textId="6C997D20" w:rsidR="0050340B" w:rsidRPr="009C36CD" w:rsidRDefault="0044000A" w:rsidP="00ED23CE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make </w:t>
            </w:r>
            <w:r w:rsidRPr="00843334">
              <w:t xml:space="preserve">the policy available on any publicly accessible website maintained by the association or an agent acting on </w:t>
            </w:r>
            <w:r w:rsidR="0046100A">
              <w:t xml:space="preserve">the association's </w:t>
            </w:r>
            <w:r w:rsidRPr="00843334">
              <w:t>behalf</w:t>
            </w:r>
            <w:r>
              <w:t>.</w:t>
            </w:r>
          </w:p>
          <w:p w14:paraId="5B9BF563" w14:textId="77777777" w:rsidR="008423E4" w:rsidRPr="00835628" w:rsidRDefault="008423E4" w:rsidP="00ED23CE">
            <w:pPr>
              <w:rPr>
                <w:b/>
              </w:rPr>
            </w:pPr>
          </w:p>
        </w:tc>
      </w:tr>
      <w:tr w:rsidR="007C183A" w14:paraId="56D12C91" w14:textId="77777777" w:rsidTr="00345119">
        <w:tc>
          <w:tcPr>
            <w:tcW w:w="9576" w:type="dxa"/>
          </w:tcPr>
          <w:p w14:paraId="6DDBD13F" w14:textId="77777777" w:rsidR="008423E4" w:rsidRPr="00A8133F" w:rsidRDefault="0044000A" w:rsidP="00ED23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F743B7" w14:textId="77777777" w:rsidR="008423E4" w:rsidRDefault="008423E4" w:rsidP="00ED23CE"/>
          <w:p w14:paraId="3CED97A0" w14:textId="63E78E82" w:rsidR="008423E4" w:rsidRPr="003624F2" w:rsidRDefault="0044000A" w:rsidP="00ED23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</w:t>
            </w:r>
            <w:r w:rsidR="00A27B8F">
              <w:t>.</w:t>
            </w:r>
          </w:p>
          <w:p w14:paraId="01DEAE4B" w14:textId="77777777" w:rsidR="008423E4" w:rsidRPr="00233FDB" w:rsidRDefault="008423E4" w:rsidP="00ED23CE">
            <w:pPr>
              <w:rPr>
                <w:b/>
              </w:rPr>
            </w:pPr>
          </w:p>
        </w:tc>
      </w:tr>
      <w:tr w:rsidR="007C183A" w14:paraId="1A119945" w14:textId="77777777" w:rsidTr="00345119">
        <w:tc>
          <w:tcPr>
            <w:tcW w:w="9576" w:type="dxa"/>
          </w:tcPr>
          <w:p w14:paraId="645A2C67" w14:textId="77777777" w:rsidR="00C263C8" w:rsidRDefault="0044000A" w:rsidP="00ED23C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643B509" w14:textId="77777777" w:rsidR="00DC6DC7" w:rsidRDefault="00DC6DC7" w:rsidP="00ED23CE">
            <w:pPr>
              <w:jc w:val="both"/>
            </w:pPr>
          </w:p>
          <w:p w14:paraId="3B766049" w14:textId="13CB892C" w:rsidR="00DC6DC7" w:rsidRDefault="0044000A" w:rsidP="00ED23CE">
            <w:pPr>
              <w:jc w:val="both"/>
            </w:pPr>
            <w:r>
              <w:t xml:space="preserve">While C.S.H.B. 1970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14:paraId="025A1902" w14:textId="5102A204" w:rsidR="00DC6DC7" w:rsidRDefault="00DC6DC7" w:rsidP="00ED23CE">
            <w:pPr>
              <w:jc w:val="both"/>
            </w:pPr>
          </w:p>
          <w:p w14:paraId="3E482CB3" w14:textId="77777777" w:rsidR="00B91E36" w:rsidRDefault="0044000A" w:rsidP="00ED23CE">
            <w:pPr>
              <w:jc w:val="both"/>
            </w:pPr>
            <w:r>
              <w:t>The substitute revises the required contents of the enforcement policy to do the following:</w:t>
            </w:r>
          </w:p>
          <w:p w14:paraId="484779F1" w14:textId="72186164" w:rsidR="00DC6DC7" w:rsidRDefault="0044000A" w:rsidP="00ED23C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replace the requirement for the policy to disclose each type of violation for which the association's board may assess a fine, as in the original, with the requirement for the policy to include each category of restrictive covenants for which the associati</w:t>
            </w:r>
            <w:r>
              <w:t xml:space="preserve">on may assess a fine, while retaining the requirement from the original that the amount of the </w:t>
            </w:r>
            <w:r w:rsidR="00B91E36">
              <w:t>fine be reasonable;</w:t>
            </w:r>
          </w:p>
          <w:p w14:paraId="2C5D3EA1" w14:textId="613DED6B" w:rsidR="00B91E36" w:rsidRDefault="0044000A" w:rsidP="00ED23C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require the policy to include a schedule of fines for each category of violation, rather than the amount of the fine for each type of violati</w:t>
            </w:r>
            <w:r>
              <w:t>on, as in the original; and</w:t>
            </w:r>
          </w:p>
          <w:p w14:paraId="1FCA1CC1" w14:textId="12A91132" w:rsidR="00B91E36" w:rsidRDefault="0044000A" w:rsidP="00ED23C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remove the specification that the information regarding hearings included in the policy be pertinent information.</w:t>
            </w:r>
          </w:p>
          <w:p w14:paraId="7B05545F" w14:textId="586AE180" w:rsidR="00B91E36" w:rsidRDefault="0044000A" w:rsidP="00ED23CE">
            <w:pPr>
              <w:jc w:val="both"/>
            </w:pPr>
            <w:r>
              <w:t>The substitute includes a provision not in the original authorizing the policy to reserve the board's authority to</w:t>
            </w:r>
            <w:r>
              <w:t xml:space="preserve"> levy a fine from the schedule of fines that varies on a case-by-case basis.</w:t>
            </w:r>
          </w:p>
          <w:p w14:paraId="119F1BC4" w14:textId="1F136E6E" w:rsidR="00B91E36" w:rsidRDefault="00B91E36" w:rsidP="00ED23CE">
            <w:pPr>
              <w:jc w:val="both"/>
            </w:pPr>
          </w:p>
          <w:p w14:paraId="47804415" w14:textId="092DFDE2" w:rsidR="00B91E36" w:rsidRDefault="0044000A" w:rsidP="00ED23CE">
            <w:pPr>
              <w:jc w:val="both"/>
            </w:pPr>
            <w:r>
              <w:t xml:space="preserve">The substitute </w:t>
            </w:r>
            <w:r w:rsidR="009146CA">
              <w:t xml:space="preserve">includes as an additional means by which an </w:t>
            </w:r>
            <w:r>
              <w:t xml:space="preserve">association </w:t>
            </w:r>
            <w:r w:rsidR="009146CA">
              <w:t xml:space="preserve">can satisfy the requirement in the original to </w:t>
            </w:r>
            <w:r>
              <w:t>provid</w:t>
            </w:r>
            <w:r w:rsidR="009146CA">
              <w:t>e</w:t>
            </w:r>
            <w:r>
              <w:t xml:space="preserve"> a copy of the</w:t>
            </w:r>
            <w:r w:rsidR="009146CA">
              <w:t xml:space="preserve"> adopted enforcement</w:t>
            </w:r>
            <w:r>
              <w:t xml:space="preserve"> policy to an owner</w:t>
            </w:r>
            <w:r>
              <w:t xml:space="preserve"> of each property in the subdivision posting the policy on a website maintained by an </w:t>
            </w:r>
            <w:r w:rsidRPr="00B91E36">
              <w:t>agent acting on</w:t>
            </w:r>
            <w:r w:rsidR="009146CA">
              <w:t xml:space="preserve"> the association's</w:t>
            </w:r>
            <w:r w:rsidRPr="00B91E36">
              <w:t xml:space="preserve"> behalf and accessible to</w:t>
            </w:r>
            <w:r w:rsidR="009146CA">
              <w:t xml:space="preserve"> association members.</w:t>
            </w:r>
          </w:p>
          <w:p w14:paraId="14AB04E3" w14:textId="159DC1E0" w:rsidR="009146CA" w:rsidRDefault="009146CA" w:rsidP="00ED23CE">
            <w:pPr>
              <w:jc w:val="both"/>
            </w:pPr>
          </w:p>
          <w:p w14:paraId="308296F1" w14:textId="7594E669" w:rsidR="009A1A23" w:rsidRDefault="0044000A" w:rsidP="00ED23CE">
            <w:pPr>
              <w:jc w:val="both"/>
            </w:pPr>
            <w:r>
              <w:t xml:space="preserve">The substitute includes a provision not in the original requiring each association to </w:t>
            </w:r>
            <w:r w:rsidRPr="009146CA">
              <w:t>mak</w:t>
            </w:r>
            <w:r w:rsidRPr="009146CA">
              <w:t xml:space="preserve">e </w:t>
            </w:r>
            <w:r>
              <w:t>its enforcement</w:t>
            </w:r>
            <w:r w:rsidRPr="009146CA">
              <w:t xml:space="preserve"> policy available on any publicly accessible website maintained by the association or an agent acting on </w:t>
            </w:r>
            <w:r>
              <w:t>the association's behalf.</w:t>
            </w:r>
          </w:p>
          <w:p w14:paraId="6C584387" w14:textId="349DCD2E" w:rsidR="009A1A23" w:rsidRDefault="009A1A23" w:rsidP="00ED23CE">
            <w:pPr>
              <w:jc w:val="both"/>
            </w:pPr>
          </w:p>
          <w:p w14:paraId="24D5395A" w14:textId="04F83313" w:rsidR="009A1A23" w:rsidRDefault="0044000A" w:rsidP="00ED23CE">
            <w:pPr>
              <w:jc w:val="both"/>
            </w:pPr>
            <w:r>
              <w:t>The substitute delays the effective date of the bill to January 1, 2022, where</w:t>
            </w:r>
            <w:r w:rsidR="004A259D">
              <w:t>as</w:t>
            </w:r>
            <w:r>
              <w:t xml:space="preserve"> the effective date of the </w:t>
            </w:r>
            <w:r>
              <w:t xml:space="preserve">original was September 1, 2021. </w:t>
            </w:r>
          </w:p>
          <w:p w14:paraId="61948726" w14:textId="79ACE606" w:rsidR="00DC6DC7" w:rsidRPr="00DC6DC7" w:rsidRDefault="00DC6DC7" w:rsidP="00ED23CE">
            <w:pPr>
              <w:jc w:val="both"/>
            </w:pPr>
          </w:p>
        </w:tc>
      </w:tr>
      <w:tr w:rsidR="007C183A" w14:paraId="5F15D257" w14:textId="77777777" w:rsidTr="00345119">
        <w:tc>
          <w:tcPr>
            <w:tcW w:w="9576" w:type="dxa"/>
          </w:tcPr>
          <w:p w14:paraId="03C95D88" w14:textId="77777777" w:rsidR="00C263C8" w:rsidRPr="009C1E9A" w:rsidRDefault="00C263C8" w:rsidP="00ED23CE">
            <w:pPr>
              <w:rPr>
                <w:b/>
                <w:u w:val="single"/>
              </w:rPr>
            </w:pPr>
          </w:p>
        </w:tc>
      </w:tr>
      <w:tr w:rsidR="007C183A" w14:paraId="75182027" w14:textId="77777777" w:rsidTr="00345119">
        <w:tc>
          <w:tcPr>
            <w:tcW w:w="9576" w:type="dxa"/>
          </w:tcPr>
          <w:p w14:paraId="55854796" w14:textId="77777777" w:rsidR="00C263C8" w:rsidRPr="00C263C8" w:rsidRDefault="00C263C8" w:rsidP="00ED23CE">
            <w:pPr>
              <w:jc w:val="both"/>
            </w:pPr>
          </w:p>
        </w:tc>
      </w:tr>
    </w:tbl>
    <w:p w14:paraId="31A78ECC" w14:textId="77777777" w:rsidR="008423E4" w:rsidRPr="00BE0E75" w:rsidRDefault="008423E4" w:rsidP="00ED23CE">
      <w:pPr>
        <w:jc w:val="both"/>
        <w:rPr>
          <w:rFonts w:ascii="Arial" w:hAnsi="Arial"/>
          <w:sz w:val="16"/>
          <w:szCs w:val="16"/>
        </w:rPr>
      </w:pPr>
    </w:p>
    <w:p w14:paraId="041DE39B" w14:textId="77777777" w:rsidR="004108C3" w:rsidRPr="008423E4" w:rsidRDefault="004108C3" w:rsidP="00ED23C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E9CC" w14:textId="77777777" w:rsidR="00000000" w:rsidRDefault="0044000A">
      <w:r>
        <w:separator/>
      </w:r>
    </w:p>
  </w:endnote>
  <w:endnote w:type="continuationSeparator" w:id="0">
    <w:p w14:paraId="6B39C49F" w14:textId="77777777" w:rsidR="00000000" w:rsidRDefault="0044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4304" w14:textId="77777777" w:rsidR="002C4976" w:rsidRDefault="002C4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183A" w14:paraId="23EF4ACE" w14:textId="77777777" w:rsidTr="009C1E9A">
      <w:trPr>
        <w:cantSplit/>
      </w:trPr>
      <w:tc>
        <w:tcPr>
          <w:tcW w:w="0" w:type="pct"/>
        </w:tcPr>
        <w:p w14:paraId="55BEB9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DF33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B4561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58DC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E072A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183A" w14:paraId="23A9303E" w14:textId="77777777" w:rsidTr="009C1E9A">
      <w:trPr>
        <w:cantSplit/>
      </w:trPr>
      <w:tc>
        <w:tcPr>
          <w:tcW w:w="0" w:type="pct"/>
        </w:tcPr>
        <w:p w14:paraId="2E1591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7D004D" w14:textId="7C27FAF5" w:rsidR="00EC379B" w:rsidRPr="009C1E9A" w:rsidRDefault="004400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23946</w:t>
          </w:r>
        </w:p>
      </w:tc>
      <w:tc>
        <w:tcPr>
          <w:tcW w:w="2453" w:type="pct"/>
        </w:tcPr>
        <w:p w14:paraId="3281410C" w14:textId="2D6130D8" w:rsidR="00EC379B" w:rsidRDefault="004400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B31D2">
            <w:t>21.123.532</w:t>
          </w:r>
          <w:r>
            <w:fldChar w:fldCharType="end"/>
          </w:r>
        </w:p>
      </w:tc>
    </w:tr>
    <w:tr w:rsidR="007C183A" w14:paraId="41055FC3" w14:textId="77777777" w:rsidTr="009C1E9A">
      <w:trPr>
        <w:cantSplit/>
      </w:trPr>
      <w:tc>
        <w:tcPr>
          <w:tcW w:w="0" w:type="pct"/>
        </w:tcPr>
        <w:p w14:paraId="2CAC8DE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2CD5094" w14:textId="0B03D5AE" w:rsidR="00EC379B" w:rsidRPr="009C1E9A" w:rsidRDefault="004400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19557</w:t>
          </w:r>
        </w:p>
      </w:tc>
      <w:tc>
        <w:tcPr>
          <w:tcW w:w="2453" w:type="pct"/>
        </w:tcPr>
        <w:p w14:paraId="4999204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78D8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183A" w14:paraId="28BDCC0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378B0B" w14:textId="2F02E3B1" w:rsidR="00EC379B" w:rsidRDefault="004400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B31D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BDDD8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4489B3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7EB4" w14:textId="77777777" w:rsidR="002C4976" w:rsidRDefault="002C4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65F3" w14:textId="77777777" w:rsidR="00000000" w:rsidRDefault="0044000A">
      <w:r>
        <w:separator/>
      </w:r>
    </w:p>
  </w:footnote>
  <w:footnote w:type="continuationSeparator" w:id="0">
    <w:p w14:paraId="15AECD77" w14:textId="77777777" w:rsidR="00000000" w:rsidRDefault="0044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1D64" w14:textId="77777777" w:rsidR="002C4976" w:rsidRDefault="002C4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E571" w14:textId="77777777" w:rsidR="002C4976" w:rsidRDefault="002C4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7016" w14:textId="77777777" w:rsidR="002C4976" w:rsidRDefault="002C4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4B03"/>
    <w:multiLevelType w:val="hybridMultilevel"/>
    <w:tmpl w:val="D89EB274"/>
    <w:lvl w:ilvl="0" w:tplc="7706A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6C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0E2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0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EA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7CE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E8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05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873"/>
    <w:multiLevelType w:val="hybridMultilevel"/>
    <w:tmpl w:val="99FA9536"/>
    <w:lvl w:ilvl="0" w:tplc="92FA1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42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2E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05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84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41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C5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7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0F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84ECA"/>
    <w:multiLevelType w:val="hybridMultilevel"/>
    <w:tmpl w:val="ADD66BC2"/>
    <w:lvl w:ilvl="0" w:tplc="AD565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03A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4D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0E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E7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67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8E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6D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0A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6F9E"/>
    <w:multiLevelType w:val="hybridMultilevel"/>
    <w:tmpl w:val="9314C8C2"/>
    <w:lvl w:ilvl="0" w:tplc="4F82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AC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83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EC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2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40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E6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6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ED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976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87D23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976"/>
    <w:rsid w:val="002C5114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00A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00A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59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40B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343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E38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83A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979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334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519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6CA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F2A"/>
    <w:rsid w:val="009A1883"/>
    <w:rsid w:val="009A1A2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B8F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300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1F2"/>
    <w:rsid w:val="00B524C1"/>
    <w:rsid w:val="00B52C8D"/>
    <w:rsid w:val="00B564BF"/>
    <w:rsid w:val="00B57E1A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1E36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4E7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3C8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F7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16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EE7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6DC7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1D2"/>
    <w:rsid w:val="00EB3928"/>
    <w:rsid w:val="00EB5373"/>
    <w:rsid w:val="00EB7C10"/>
    <w:rsid w:val="00EC02A2"/>
    <w:rsid w:val="00EC379B"/>
    <w:rsid w:val="00EC37DF"/>
    <w:rsid w:val="00EC41B1"/>
    <w:rsid w:val="00ED0665"/>
    <w:rsid w:val="00ED12C0"/>
    <w:rsid w:val="00ED19F0"/>
    <w:rsid w:val="00ED23CE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DC5E78-D16C-4820-A510-A8D7BBB7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7B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7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7B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7B8F"/>
    <w:rPr>
      <w:b/>
      <w:bCs/>
    </w:rPr>
  </w:style>
  <w:style w:type="paragraph" w:styleId="ListParagraph">
    <w:name w:val="List Paragraph"/>
    <w:basedOn w:val="Normal"/>
    <w:uiPriority w:val="34"/>
    <w:qFormat/>
    <w:rsid w:val="00DC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3773</Characters>
  <Application>Microsoft Office Word</Application>
  <DocSecurity>4</DocSecurity>
  <Lines>97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HB01970 (Committee Report (Substituted))</vt:lpstr>
    </vt:vector>
  </TitlesOfParts>
  <Company>State of Texas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23946</dc:subject>
  <dc:creator>State of Texas</dc:creator>
  <dc:description>HB 1970 by Shaheen-(H)Business &amp; Industry (Substitute Document Number: 87R 19557)</dc:description>
  <cp:lastModifiedBy>Stacey Nicchio</cp:lastModifiedBy>
  <cp:revision>2</cp:revision>
  <cp:lastPrinted>2003-11-26T17:21:00Z</cp:lastPrinted>
  <dcterms:created xsi:type="dcterms:W3CDTF">2021-05-04T16:31:00Z</dcterms:created>
  <dcterms:modified xsi:type="dcterms:W3CDTF">2021-05-04T16:31:00Z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21.123.532</vt:lpwstr>
  </property>
</Properties>
</file>