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D2013" w14:paraId="168577A9" w14:textId="77777777" w:rsidTr="00345119">
        <w:tc>
          <w:tcPr>
            <w:tcW w:w="9576" w:type="dxa"/>
            <w:noWrap/>
          </w:tcPr>
          <w:p w14:paraId="17B1AEA4" w14:textId="77777777" w:rsidR="008423E4" w:rsidRPr="0022177D" w:rsidRDefault="008F4D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94C5D12" w14:textId="77777777" w:rsidR="008423E4" w:rsidRPr="0022177D" w:rsidRDefault="008423E4" w:rsidP="008423E4">
      <w:pPr>
        <w:jc w:val="center"/>
      </w:pPr>
    </w:p>
    <w:p w14:paraId="219B4ABE" w14:textId="77777777" w:rsidR="008423E4" w:rsidRPr="00B31F0E" w:rsidRDefault="008423E4" w:rsidP="008423E4"/>
    <w:p w14:paraId="5D8F0E46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2013" w14:paraId="6F8831B3" w14:textId="77777777" w:rsidTr="00345119">
        <w:tc>
          <w:tcPr>
            <w:tcW w:w="9576" w:type="dxa"/>
          </w:tcPr>
          <w:p w14:paraId="5423768F" w14:textId="1218858D" w:rsidR="008423E4" w:rsidRPr="00861995" w:rsidRDefault="008F4DB6" w:rsidP="00345119">
            <w:pPr>
              <w:jc w:val="right"/>
            </w:pPr>
            <w:r>
              <w:t>C.S.H.B. 2044</w:t>
            </w:r>
          </w:p>
        </w:tc>
      </w:tr>
      <w:tr w:rsidR="000D2013" w14:paraId="0D121F2B" w14:textId="77777777" w:rsidTr="00345119">
        <w:tc>
          <w:tcPr>
            <w:tcW w:w="9576" w:type="dxa"/>
          </w:tcPr>
          <w:p w14:paraId="56E7937E" w14:textId="1F7D5AAC" w:rsidR="008423E4" w:rsidRPr="00861995" w:rsidRDefault="008F4DB6" w:rsidP="00A228E4">
            <w:pPr>
              <w:jc w:val="right"/>
            </w:pPr>
            <w:r>
              <w:t xml:space="preserve">By: </w:t>
            </w:r>
            <w:r w:rsidR="00A228E4">
              <w:t>Leman</w:t>
            </w:r>
          </w:p>
        </w:tc>
      </w:tr>
      <w:tr w:rsidR="000D2013" w14:paraId="101B9C2D" w14:textId="77777777" w:rsidTr="00345119">
        <w:tc>
          <w:tcPr>
            <w:tcW w:w="9576" w:type="dxa"/>
          </w:tcPr>
          <w:p w14:paraId="0B4278A9" w14:textId="08676353" w:rsidR="008423E4" w:rsidRPr="00861995" w:rsidRDefault="008F4DB6" w:rsidP="00345119">
            <w:pPr>
              <w:jc w:val="right"/>
            </w:pPr>
            <w:r>
              <w:t>Land &amp; Resource Management</w:t>
            </w:r>
          </w:p>
        </w:tc>
      </w:tr>
      <w:tr w:rsidR="000D2013" w14:paraId="414908E6" w14:textId="77777777" w:rsidTr="00345119">
        <w:tc>
          <w:tcPr>
            <w:tcW w:w="9576" w:type="dxa"/>
          </w:tcPr>
          <w:p w14:paraId="0E432758" w14:textId="725BFE62" w:rsidR="008423E4" w:rsidRDefault="008F4DB6" w:rsidP="00345119">
            <w:pPr>
              <w:jc w:val="right"/>
            </w:pPr>
            <w:r>
              <w:t>Committee Report (Substituted)</w:t>
            </w:r>
          </w:p>
        </w:tc>
      </w:tr>
    </w:tbl>
    <w:p w14:paraId="29E746A8" w14:textId="77777777" w:rsidR="008423E4" w:rsidRDefault="008423E4" w:rsidP="008423E4">
      <w:pPr>
        <w:tabs>
          <w:tab w:val="right" w:pos="9360"/>
        </w:tabs>
      </w:pPr>
    </w:p>
    <w:p w14:paraId="288E7279" w14:textId="77777777" w:rsidR="008423E4" w:rsidRDefault="008423E4" w:rsidP="008423E4"/>
    <w:p w14:paraId="7BCA64D2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D2013" w14:paraId="6D40ED48" w14:textId="77777777" w:rsidTr="00345119">
        <w:tc>
          <w:tcPr>
            <w:tcW w:w="9576" w:type="dxa"/>
          </w:tcPr>
          <w:p w14:paraId="1E8AB677" w14:textId="77777777" w:rsidR="008423E4" w:rsidRPr="00A8133F" w:rsidRDefault="008F4DB6" w:rsidP="00ED41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A86B58B" w14:textId="77777777" w:rsidR="008423E4" w:rsidRDefault="008423E4" w:rsidP="00ED4128"/>
          <w:p w14:paraId="2CEF65D2" w14:textId="03B29619" w:rsidR="008423E4" w:rsidRDefault="008F4DB6" w:rsidP="00ED4128">
            <w:pPr>
              <w:pStyle w:val="Header"/>
              <w:jc w:val="both"/>
            </w:pPr>
            <w:r>
              <w:t>In Texas, a private property owner is prohibited</w:t>
            </w:r>
            <w:r w:rsidR="00A228E4">
              <w:t xml:space="preserve"> from repurchasing</w:t>
            </w:r>
            <w:r>
              <w:t xml:space="preserve"> condemned</w:t>
            </w:r>
            <w:r w:rsidR="00A228E4">
              <w:t xml:space="preserve"> land </w:t>
            </w:r>
            <w:r>
              <w:t>from a condemning entity</w:t>
            </w:r>
            <w:r w:rsidR="00A228E4">
              <w:t xml:space="preserve"> if the entity</w:t>
            </w:r>
            <w:r w:rsidR="003B74E7">
              <w:t xml:space="preserve"> </w:t>
            </w:r>
            <w:r w:rsidR="00A228E4">
              <w:t>has made "actual progress" toward the public use</w:t>
            </w:r>
            <w:r>
              <w:t xml:space="preserve"> of the land</w:t>
            </w:r>
            <w:r w:rsidR="00A228E4">
              <w:t>. Unfortunately, the definition of "actual progress" has</w:t>
            </w:r>
            <w:r w:rsidR="003B74E7">
              <w:t xml:space="preserve"> </w:t>
            </w:r>
            <w:r w:rsidR="00A228E4">
              <w:t xml:space="preserve">proven to be unnecessarily broad and can be </w:t>
            </w:r>
            <w:r w:rsidR="00BB4991">
              <w:t xml:space="preserve">too </w:t>
            </w:r>
            <w:r w:rsidR="00A228E4">
              <w:t xml:space="preserve">easily satisfied without establishing </w:t>
            </w:r>
            <w:r w:rsidR="00BB4991">
              <w:t xml:space="preserve">substantive </w:t>
            </w:r>
            <w:r w:rsidR="00A228E4">
              <w:t xml:space="preserve">progress. </w:t>
            </w:r>
            <w:r w:rsidR="00794819">
              <w:t>There have been calls to</w:t>
            </w:r>
            <w:r w:rsidR="00A228E4">
              <w:t xml:space="preserve"> strengthen these requirements so that landowners may be assured that their property was actually used for the purpose </w:t>
            </w:r>
            <w:r w:rsidR="006E47A9">
              <w:t xml:space="preserve">for </w:t>
            </w:r>
            <w:r w:rsidR="00A228E4">
              <w:t>which it was condemned.</w:t>
            </w:r>
            <w:r w:rsidR="003B74E7">
              <w:t xml:space="preserve"> </w:t>
            </w:r>
            <w:r w:rsidR="00794819">
              <w:t>C.S.</w:t>
            </w:r>
            <w:r w:rsidR="00A228E4">
              <w:t>H</w:t>
            </w:r>
            <w:r w:rsidR="00794819">
              <w:t>.</w:t>
            </w:r>
            <w:r w:rsidR="00A228E4">
              <w:t>B</w:t>
            </w:r>
            <w:r w:rsidR="00E72BF0">
              <w:t>.</w:t>
            </w:r>
            <w:r w:rsidR="00A228E4">
              <w:t xml:space="preserve"> 2044 </w:t>
            </w:r>
            <w:r w:rsidR="00794819">
              <w:t xml:space="preserve">seeks </w:t>
            </w:r>
            <w:r w:rsidR="00A228E4">
              <w:t xml:space="preserve">to </w:t>
            </w:r>
            <w:r w:rsidR="00BB4991">
              <w:t>strengthen</w:t>
            </w:r>
            <w:r w:rsidR="00A228E4">
              <w:t xml:space="preserve"> the definition of "actual</w:t>
            </w:r>
            <w:r w:rsidR="003B74E7">
              <w:t xml:space="preserve"> </w:t>
            </w:r>
            <w:r w:rsidR="00A228E4">
              <w:t xml:space="preserve">progress" </w:t>
            </w:r>
            <w:r>
              <w:t>in this regard</w:t>
            </w:r>
            <w:r w:rsidR="00BB4991">
              <w:t>.</w:t>
            </w:r>
          </w:p>
          <w:p w14:paraId="7721F856" w14:textId="77777777" w:rsidR="008423E4" w:rsidRPr="00E26B13" w:rsidRDefault="008423E4" w:rsidP="00ED4128">
            <w:pPr>
              <w:rPr>
                <w:b/>
              </w:rPr>
            </w:pPr>
          </w:p>
        </w:tc>
      </w:tr>
      <w:tr w:rsidR="000D2013" w14:paraId="1FFD8486" w14:textId="77777777" w:rsidTr="00345119">
        <w:tc>
          <w:tcPr>
            <w:tcW w:w="9576" w:type="dxa"/>
          </w:tcPr>
          <w:p w14:paraId="6EDBCEAD" w14:textId="77777777" w:rsidR="0017725B" w:rsidRDefault="008F4DB6" w:rsidP="00ED41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194B5DE" w14:textId="77777777" w:rsidR="0017725B" w:rsidRDefault="0017725B" w:rsidP="00ED4128">
            <w:pPr>
              <w:rPr>
                <w:b/>
                <w:u w:val="single"/>
              </w:rPr>
            </w:pPr>
          </w:p>
          <w:p w14:paraId="4111B23B" w14:textId="77777777" w:rsidR="00847C99" w:rsidRPr="00847C99" w:rsidRDefault="008F4DB6" w:rsidP="00ED4128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14:paraId="5EEF5E32" w14:textId="77777777" w:rsidR="0017725B" w:rsidRPr="0017725B" w:rsidRDefault="0017725B" w:rsidP="00ED4128">
            <w:pPr>
              <w:rPr>
                <w:b/>
                <w:u w:val="single"/>
              </w:rPr>
            </w:pPr>
          </w:p>
        </w:tc>
      </w:tr>
      <w:tr w:rsidR="000D2013" w14:paraId="240114CB" w14:textId="77777777" w:rsidTr="00345119">
        <w:tc>
          <w:tcPr>
            <w:tcW w:w="9576" w:type="dxa"/>
          </w:tcPr>
          <w:p w14:paraId="5BD1D2C8" w14:textId="77777777" w:rsidR="008423E4" w:rsidRPr="00A8133F" w:rsidRDefault="008F4DB6" w:rsidP="00ED41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B903526" w14:textId="77777777" w:rsidR="008423E4" w:rsidRDefault="008423E4" w:rsidP="00ED4128"/>
          <w:p w14:paraId="0653BB44" w14:textId="77777777" w:rsidR="00847C99" w:rsidRDefault="008F4DB6" w:rsidP="00ED4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543C59E" w14:textId="77777777" w:rsidR="008423E4" w:rsidRPr="00E21FDC" w:rsidRDefault="008423E4" w:rsidP="00ED4128">
            <w:pPr>
              <w:rPr>
                <w:b/>
              </w:rPr>
            </w:pPr>
          </w:p>
        </w:tc>
      </w:tr>
      <w:tr w:rsidR="000D2013" w14:paraId="74422BC7" w14:textId="77777777" w:rsidTr="00345119">
        <w:tc>
          <w:tcPr>
            <w:tcW w:w="9576" w:type="dxa"/>
          </w:tcPr>
          <w:p w14:paraId="588773C8" w14:textId="77777777" w:rsidR="008423E4" w:rsidRPr="00A8133F" w:rsidRDefault="008F4DB6" w:rsidP="00ED41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F7196CC" w14:textId="77777777" w:rsidR="008423E4" w:rsidRDefault="008423E4" w:rsidP="00ED4128"/>
          <w:p w14:paraId="71B6DD77" w14:textId="4984BAC7" w:rsidR="00F02F51" w:rsidRDefault="008F4DB6" w:rsidP="00ED4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14185">
              <w:t xml:space="preserve">H.B. </w:t>
            </w:r>
            <w:r w:rsidR="00165008">
              <w:t>2044</w:t>
            </w:r>
            <w:r w:rsidR="00314185">
              <w:t xml:space="preserve"> amends the Property Code to </w:t>
            </w:r>
            <w:r w:rsidR="00C4400E">
              <w:t>increase</w:t>
            </w:r>
            <w:r w:rsidR="00314185">
              <w:t xml:space="preserve"> from two to three the </w:t>
            </w:r>
            <w:r w:rsidR="000761FD">
              <w:t xml:space="preserve">minimum </w:t>
            </w:r>
            <w:r w:rsidR="00314185">
              <w:t xml:space="preserve">number of </w:t>
            </w:r>
            <w:r w:rsidR="00C4400E">
              <w:t xml:space="preserve">prescribed </w:t>
            </w:r>
            <w:r w:rsidR="00314185">
              <w:t xml:space="preserve">actions </w:t>
            </w:r>
            <w:r w:rsidR="00C4400E">
              <w:t>whose completion constitutes actual progress for purposes of determining a person's right to repurchase real property from a condemning entity</w:t>
            </w:r>
            <w:r w:rsidR="00063DCB">
              <w:t>.</w:t>
            </w:r>
            <w:r w:rsidR="00990271">
              <w:t xml:space="preserve"> The bill removes</w:t>
            </w:r>
            <w:r>
              <w:t xml:space="preserve"> the following</w:t>
            </w:r>
            <w:r w:rsidR="00C4400E">
              <w:t xml:space="preserve"> from </w:t>
            </w:r>
            <w:r w:rsidR="0028276D">
              <w:t>those prescribed</w:t>
            </w:r>
            <w:r w:rsidR="00C4400E">
              <w:t xml:space="preserve"> actions</w:t>
            </w:r>
            <w:r>
              <w:t>:</w:t>
            </w:r>
            <w:r w:rsidR="00990271">
              <w:t xml:space="preserve"> </w:t>
            </w:r>
          </w:p>
          <w:p w14:paraId="3C6F6575" w14:textId="77777777" w:rsidR="00F02F51" w:rsidRDefault="008F4DB6" w:rsidP="00ED412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990271">
              <w:t>acquisition of a tract or parcel of real property adjacent to the property for the same public use project for which the owner's property was acquired</w:t>
            </w:r>
            <w:r>
              <w:t>;</w:t>
            </w:r>
            <w:r w:rsidR="00F23DBC">
              <w:t xml:space="preserve"> and </w:t>
            </w:r>
          </w:p>
          <w:p w14:paraId="0567F27A" w14:textId="77777777" w:rsidR="00F02F51" w:rsidRDefault="008F4DB6" w:rsidP="00ED412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adoption by a majority of a governm</w:t>
            </w:r>
            <w:r w:rsidR="003A19F9">
              <w:t>ental entity's governing body a</w:t>
            </w:r>
            <w:r>
              <w:t>t a pu</w:t>
            </w:r>
            <w:r>
              <w:t xml:space="preserve">blic hearing of a development plan for a public </w:t>
            </w:r>
            <w:r w:rsidR="000761FD">
              <w:t xml:space="preserve">use </w:t>
            </w:r>
            <w:r>
              <w:t xml:space="preserve">project that </w:t>
            </w:r>
            <w:r w:rsidRPr="00F23DBC">
              <w:t xml:space="preserve">indicates that the entity will not complete more than one </w:t>
            </w:r>
            <w:r w:rsidR="0028276D">
              <w:t>of the prescribed</w:t>
            </w:r>
            <w:r w:rsidRPr="00F23DBC">
              <w:t xml:space="preserve"> action</w:t>
            </w:r>
            <w:r w:rsidR="0028276D">
              <w:t>s</w:t>
            </w:r>
            <w:r w:rsidRPr="00F23DBC">
              <w:t xml:space="preserve"> before the 10th anniversary of the date of acquisition of the property</w:t>
            </w:r>
            <w:r w:rsidR="00990271">
              <w:t xml:space="preserve">. </w:t>
            </w:r>
          </w:p>
          <w:p w14:paraId="23B2F377" w14:textId="4CC4D0A2" w:rsidR="008423E4" w:rsidRDefault="008F4DB6" w:rsidP="00ED4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B60ECF">
              <w:t xml:space="preserve">authorizes </w:t>
            </w:r>
            <w:r>
              <w:t xml:space="preserve">a navigation </w:t>
            </w:r>
            <w:r>
              <w:t>district</w:t>
            </w:r>
            <w:r w:rsidR="003B74E7">
              <w:t>,</w:t>
            </w:r>
            <w:r>
              <w:t xml:space="preserve"> port authority</w:t>
            </w:r>
            <w:r w:rsidR="003B74E7">
              <w:t>, or a water district implementing a project included in the state water plan adopted by the Texas Water Development Board</w:t>
            </w:r>
            <w:r w:rsidR="00ED4128">
              <w:t xml:space="preserve"> (TWDB)</w:t>
            </w:r>
            <w:r>
              <w:t xml:space="preserve"> </w:t>
            </w:r>
            <w:r w:rsidR="00B60ECF">
              <w:t xml:space="preserve">to </w:t>
            </w:r>
            <w:r>
              <w:t xml:space="preserve">establish actual progress </w:t>
            </w:r>
            <w:r w:rsidR="00B60ECF">
              <w:t>for purposes</w:t>
            </w:r>
            <w:r w:rsidR="0028276D">
              <w:t xml:space="preserve"> of determining </w:t>
            </w:r>
            <w:r w:rsidR="00CA3421">
              <w:t>a person's</w:t>
            </w:r>
            <w:r w:rsidR="0028276D">
              <w:t xml:space="preserve"> right to repurchase real property from a condemning entity</w:t>
            </w:r>
            <w:r w:rsidR="00B60ECF">
              <w:t xml:space="preserve"> </w:t>
            </w:r>
            <w:r>
              <w:t>by</w:t>
            </w:r>
            <w:r w:rsidR="008D4AC6">
              <w:t xml:space="preserve"> the adoption of such a development plan in that manner and by</w:t>
            </w:r>
            <w:r>
              <w:t xml:space="preserve"> </w:t>
            </w:r>
            <w:r w:rsidR="00B60ECF">
              <w:t>completing</w:t>
            </w:r>
            <w:r>
              <w:t xml:space="preserve"> one </w:t>
            </w:r>
            <w:r w:rsidR="0028276D">
              <w:t xml:space="preserve">of the </w:t>
            </w:r>
            <w:r w:rsidR="00B60ECF">
              <w:t xml:space="preserve">prescribed </w:t>
            </w:r>
            <w:r>
              <w:t>action</w:t>
            </w:r>
            <w:r w:rsidR="0028276D">
              <w:t>s</w:t>
            </w:r>
            <w:r w:rsidRPr="00990271">
              <w:t>.</w:t>
            </w:r>
            <w:r>
              <w:t xml:space="preserve"> </w:t>
            </w:r>
          </w:p>
          <w:p w14:paraId="60B3BE7E" w14:textId="3BF0B28E" w:rsidR="00EA6AA4" w:rsidRDefault="00EA6AA4" w:rsidP="00ED4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BFEC13D" w14:textId="7F3AF16E" w:rsidR="00EA6AA4" w:rsidRDefault="008F4DB6" w:rsidP="00ED4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2044 expands </w:t>
            </w:r>
            <w:r w:rsidR="009B2634">
              <w:t xml:space="preserve">the conduct that constitutes </w:t>
            </w:r>
            <w:r>
              <w:t xml:space="preserve">the prescribed action </w:t>
            </w:r>
            <w:r w:rsidR="00F464D8">
              <w:t>regarding</w:t>
            </w:r>
            <w:r w:rsidR="00F90DC7">
              <w:t xml:space="preserve"> the </w:t>
            </w:r>
            <w:r w:rsidR="00F90DC7" w:rsidRPr="00F90DC7">
              <w:t>hiring of and performance of a significant amount of work by an arc</w:t>
            </w:r>
            <w:r w:rsidR="008475DD">
              <w:t>hitect, engineer, or surveyor for the preparation of</w:t>
            </w:r>
            <w:r w:rsidR="00F90DC7" w:rsidRPr="00F90DC7">
              <w:t xml:space="preserve"> a</w:t>
            </w:r>
            <w:r w:rsidR="00F90DC7">
              <w:t>n applicable</w:t>
            </w:r>
            <w:r w:rsidR="00F90DC7" w:rsidRPr="00F90DC7">
              <w:t xml:space="preserve"> plan or plat </w:t>
            </w:r>
            <w:r w:rsidR="00F90DC7">
              <w:t>to do the following:</w:t>
            </w:r>
          </w:p>
          <w:p w14:paraId="2AD8A92E" w14:textId="6C0E4D6D" w:rsidR="00F90DC7" w:rsidRDefault="008F4DB6" w:rsidP="00ED412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provide for the contracting </w:t>
            </w:r>
            <w:r w:rsidR="009B2634">
              <w:t>with</w:t>
            </w:r>
            <w:r>
              <w:t xml:space="preserve"> such a person as an alternative to the hiring of the person; and</w:t>
            </w:r>
          </w:p>
          <w:p w14:paraId="7BBD4A4D" w14:textId="77777777" w:rsidR="00ED4128" w:rsidRDefault="00ED4128" w:rsidP="00ED4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112B8FE" w14:textId="1BD71B0F" w:rsidR="00F90DC7" w:rsidRDefault="008F4DB6" w:rsidP="00ED412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 for the preparat</w:t>
            </w:r>
            <w:r>
              <w:t xml:space="preserve">ion of an applicable easement as an alternative to the preparation of </w:t>
            </w:r>
            <w:r w:rsidR="00F02F51">
              <w:t>the</w:t>
            </w:r>
            <w:r>
              <w:t xml:space="preserve"> plan or plat.</w:t>
            </w:r>
          </w:p>
          <w:p w14:paraId="5D320007" w14:textId="2F936851" w:rsidR="00F90DC7" w:rsidRDefault="00F90DC7" w:rsidP="00ED4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515AA07" w14:textId="62673295" w:rsidR="00F90DC7" w:rsidRDefault="008F4DB6" w:rsidP="00ED4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2044 </w:t>
            </w:r>
            <w:r w:rsidR="009B2634" w:rsidRPr="009B2634">
              <w:t>expands the conduct that constitutes</w:t>
            </w:r>
            <w:r w:rsidR="00F464D8">
              <w:t xml:space="preserve"> the prescribed action regarding</w:t>
            </w:r>
            <w:r>
              <w:t xml:space="preserve"> the </w:t>
            </w:r>
            <w:r w:rsidRPr="00F90DC7">
              <w:t>application for a</w:t>
            </w:r>
            <w:r>
              <w:t>n applicable</w:t>
            </w:r>
            <w:r w:rsidRPr="00F90DC7">
              <w:t xml:space="preserve"> state or federal permit to </w:t>
            </w:r>
            <w:r w:rsidR="008475DD">
              <w:t xml:space="preserve">provide as an alternative to </w:t>
            </w:r>
            <w:r w:rsidR="00F464D8">
              <w:t>such</w:t>
            </w:r>
            <w:r w:rsidR="008475DD">
              <w:t xml:space="preserve"> application the application for an applicable </w:t>
            </w:r>
            <w:r w:rsidR="009B2634" w:rsidRPr="009B2634">
              <w:t xml:space="preserve">state or federal </w:t>
            </w:r>
            <w:r w:rsidR="008475DD">
              <w:t>certificate.</w:t>
            </w:r>
          </w:p>
          <w:p w14:paraId="2332F087" w14:textId="77777777" w:rsidR="008423E4" w:rsidRPr="00835628" w:rsidRDefault="008423E4" w:rsidP="00ED4128">
            <w:pPr>
              <w:rPr>
                <w:b/>
              </w:rPr>
            </w:pPr>
          </w:p>
        </w:tc>
      </w:tr>
      <w:tr w:rsidR="000D2013" w14:paraId="226274DA" w14:textId="77777777" w:rsidTr="00345119">
        <w:tc>
          <w:tcPr>
            <w:tcW w:w="9576" w:type="dxa"/>
          </w:tcPr>
          <w:p w14:paraId="29966F19" w14:textId="77777777" w:rsidR="008423E4" w:rsidRPr="00A8133F" w:rsidRDefault="008F4DB6" w:rsidP="00ED41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B30EB07" w14:textId="77777777" w:rsidR="008423E4" w:rsidRDefault="008423E4" w:rsidP="00ED4128"/>
          <w:p w14:paraId="6EB50FF5" w14:textId="6B924006" w:rsidR="008423E4" w:rsidRPr="003624F2" w:rsidRDefault="008F4DB6" w:rsidP="00ED41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F02F51">
              <w:t>21</w:t>
            </w:r>
            <w:r>
              <w:t>.</w:t>
            </w:r>
          </w:p>
          <w:p w14:paraId="33320E7C" w14:textId="77777777" w:rsidR="008423E4" w:rsidRPr="00233FDB" w:rsidRDefault="008423E4" w:rsidP="00ED4128">
            <w:pPr>
              <w:rPr>
                <w:b/>
              </w:rPr>
            </w:pPr>
          </w:p>
        </w:tc>
      </w:tr>
      <w:tr w:rsidR="000D2013" w14:paraId="4D11A796" w14:textId="77777777" w:rsidTr="00345119">
        <w:tc>
          <w:tcPr>
            <w:tcW w:w="9576" w:type="dxa"/>
          </w:tcPr>
          <w:p w14:paraId="51AE77D5" w14:textId="77777777" w:rsidR="00A228E4" w:rsidRDefault="008F4DB6" w:rsidP="00ED41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40DE0C7" w14:textId="77777777" w:rsidR="003B74E7" w:rsidRDefault="003B74E7" w:rsidP="00ED4128">
            <w:pPr>
              <w:jc w:val="both"/>
            </w:pPr>
          </w:p>
          <w:p w14:paraId="694E8954" w14:textId="7CB56938" w:rsidR="003B74E7" w:rsidRDefault="008F4DB6" w:rsidP="00ED4128">
            <w:pPr>
              <w:jc w:val="both"/>
            </w:pPr>
            <w:r>
              <w:t xml:space="preserve">While C.S.H.B. 2044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569271B8" w14:textId="0ED1C50A" w:rsidR="003B74E7" w:rsidRDefault="003B74E7" w:rsidP="00ED4128">
            <w:pPr>
              <w:jc w:val="both"/>
            </w:pPr>
          </w:p>
          <w:p w14:paraId="2080C682" w14:textId="71FD7FDA" w:rsidR="003B74E7" w:rsidRDefault="008F4DB6" w:rsidP="00ED4128">
            <w:pPr>
              <w:jc w:val="both"/>
            </w:pPr>
            <w:r>
              <w:t xml:space="preserve">The original </w:t>
            </w:r>
            <w:r w:rsidRPr="003B74E7">
              <w:t>au</w:t>
            </w:r>
            <w:r>
              <w:t xml:space="preserve">thorizes a navigation district or </w:t>
            </w:r>
            <w:r w:rsidRPr="003B74E7">
              <w:t>port authority to establish actual progress for purposes of de</w:t>
            </w:r>
            <w:r w:rsidRPr="003B74E7">
              <w:t xml:space="preserve">termining a person's right to repurchase real property from a condemning entity by the adoption of </w:t>
            </w:r>
            <w:r w:rsidR="00794819">
              <w:t>a</w:t>
            </w:r>
            <w:r w:rsidRPr="003B74E7">
              <w:t xml:space="preserve"> development plan and by completing </w:t>
            </w:r>
            <w:r w:rsidR="00794819">
              <w:t>certain</w:t>
            </w:r>
            <w:r w:rsidRPr="003B74E7">
              <w:t xml:space="preserve"> actions</w:t>
            </w:r>
            <w:r w:rsidR="00794819">
              <w:t xml:space="preserve">. The substitute includes among the entities so authorized a water district implementing a project included in the state water plan adopted by the </w:t>
            </w:r>
            <w:r w:rsidR="00ED4128">
              <w:t>TWDB</w:t>
            </w:r>
            <w:r w:rsidR="00794819">
              <w:t>.</w:t>
            </w:r>
          </w:p>
          <w:p w14:paraId="676FF4DD" w14:textId="78C16FCF" w:rsidR="003B74E7" w:rsidRPr="003B74E7" w:rsidRDefault="003B74E7" w:rsidP="00ED4128">
            <w:pPr>
              <w:jc w:val="both"/>
            </w:pPr>
          </w:p>
        </w:tc>
      </w:tr>
      <w:tr w:rsidR="000D2013" w14:paraId="27EE3544" w14:textId="77777777" w:rsidTr="00345119">
        <w:tc>
          <w:tcPr>
            <w:tcW w:w="9576" w:type="dxa"/>
          </w:tcPr>
          <w:p w14:paraId="2D6C1F01" w14:textId="77777777" w:rsidR="006C293B" w:rsidRPr="009C1E9A" w:rsidRDefault="006C293B" w:rsidP="00ED4128">
            <w:pPr>
              <w:rPr>
                <w:b/>
                <w:u w:val="single"/>
              </w:rPr>
            </w:pPr>
          </w:p>
        </w:tc>
      </w:tr>
      <w:tr w:rsidR="000D2013" w14:paraId="1275F059" w14:textId="77777777" w:rsidTr="00345119">
        <w:tc>
          <w:tcPr>
            <w:tcW w:w="9576" w:type="dxa"/>
          </w:tcPr>
          <w:p w14:paraId="18EE8BCD" w14:textId="77777777" w:rsidR="006C293B" w:rsidRPr="00A228E4" w:rsidRDefault="006C293B" w:rsidP="00ED4128">
            <w:pPr>
              <w:jc w:val="both"/>
            </w:pPr>
          </w:p>
        </w:tc>
      </w:tr>
      <w:tr w:rsidR="000D2013" w14:paraId="3359C896" w14:textId="77777777" w:rsidTr="00345119">
        <w:tc>
          <w:tcPr>
            <w:tcW w:w="9576" w:type="dxa"/>
          </w:tcPr>
          <w:p w14:paraId="0F0E5183" w14:textId="77777777" w:rsidR="00A228E4" w:rsidRPr="006C293B" w:rsidRDefault="00A228E4" w:rsidP="00ED4128">
            <w:pPr>
              <w:jc w:val="both"/>
            </w:pPr>
          </w:p>
        </w:tc>
      </w:tr>
      <w:tr w:rsidR="000D2013" w14:paraId="2B877BE3" w14:textId="77777777" w:rsidTr="00345119">
        <w:tc>
          <w:tcPr>
            <w:tcW w:w="9576" w:type="dxa"/>
          </w:tcPr>
          <w:p w14:paraId="33144428" w14:textId="77777777" w:rsidR="00A228E4" w:rsidRPr="006C293B" w:rsidRDefault="00A228E4" w:rsidP="00ED4128">
            <w:pPr>
              <w:jc w:val="both"/>
            </w:pPr>
          </w:p>
        </w:tc>
      </w:tr>
      <w:tr w:rsidR="000D2013" w14:paraId="0E2B51B7" w14:textId="77777777" w:rsidTr="00345119">
        <w:tc>
          <w:tcPr>
            <w:tcW w:w="9576" w:type="dxa"/>
          </w:tcPr>
          <w:p w14:paraId="4BAB8572" w14:textId="77777777" w:rsidR="00A228E4" w:rsidRPr="006C293B" w:rsidRDefault="00A228E4" w:rsidP="00ED4128">
            <w:pPr>
              <w:jc w:val="both"/>
            </w:pPr>
          </w:p>
        </w:tc>
      </w:tr>
    </w:tbl>
    <w:p w14:paraId="3629A5D0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76CAF580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51D76" w14:textId="77777777" w:rsidR="00000000" w:rsidRDefault="008F4DB6">
      <w:r>
        <w:separator/>
      </w:r>
    </w:p>
  </w:endnote>
  <w:endnote w:type="continuationSeparator" w:id="0">
    <w:p w14:paraId="440B4795" w14:textId="77777777" w:rsidR="00000000" w:rsidRDefault="008F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968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2013" w14:paraId="7595F0C8" w14:textId="77777777" w:rsidTr="009C1E9A">
      <w:trPr>
        <w:cantSplit/>
      </w:trPr>
      <w:tc>
        <w:tcPr>
          <w:tcW w:w="0" w:type="pct"/>
        </w:tcPr>
        <w:p w14:paraId="3B172D1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296E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7B1F8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7463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10D48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2013" w14:paraId="10FD8BD2" w14:textId="77777777" w:rsidTr="009C1E9A">
      <w:trPr>
        <w:cantSplit/>
      </w:trPr>
      <w:tc>
        <w:tcPr>
          <w:tcW w:w="0" w:type="pct"/>
        </w:tcPr>
        <w:p w14:paraId="1443291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8BFCBE" w14:textId="1E81F603" w:rsidR="00EC379B" w:rsidRPr="009C1E9A" w:rsidRDefault="008F4D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21068</w:t>
          </w:r>
        </w:p>
      </w:tc>
      <w:tc>
        <w:tcPr>
          <w:tcW w:w="2453" w:type="pct"/>
        </w:tcPr>
        <w:p w14:paraId="686BF75D" w14:textId="0BB56759" w:rsidR="00EC379B" w:rsidRDefault="008F4D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066EC">
            <w:t>21.110.219</w:t>
          </w:r>
          <w:r>
            <w:fldChar w:fldCharType="end"/>
          </w:r>
        </w:p>
      </w:tc>
    </w:tr>
    <w:tr w:rsidR="000D2013" w14:paraId="308E5426" w14:textId="77777777" w:rsidTr="009C1E9A">
      <w:trPr>
        <w:cantSplit/>
      </w:trPr>
      <w:tc>
        <w:tcPr>
          <w:tcW w:w="0" w:type="pct"/>
        </w:tcPr>
        <w:p w14:paraId="69E9B36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5938401" w14:textId="63303754" w:rsidR="00EC379B" w:rsidRPr="009C1E9A" w:rsidRDefault="008F4D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17678</w:t>
          </w:r>
        </w:p>
      </w:tc>
      <w:tc>
        <w:tcPr>
          <w:tcW w:w="2453" w:type="pct"/>
        </w:tcPr>
        <w:p w14:paraId="473BE63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FFAB8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2013" w14:paraId="23D859A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F3F0AB2" w14:textId="4B58964D" w:rsidR="00EC379B" w:rsidRDefault="008F4D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D412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08A472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DF3C47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5CC0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045D0" w14:textId="77777777" w:rsidR="00000000" w:rsidRDefault="008F4DB6">
      <w:r>
        <w:separator/>
      </w:r>
    </w:p>
  </w:footnote>
  <w:footnote w:type="continuationSeparator" w:id="0">
    <w:p w14:paraId="60CE652D" w14:textId="77777777" w:rsidR="00000000" w:rsidRDefault="008F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35F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D9C6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5CE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43F3"/>
    <w:multiLevelType w:val="hybridMultilevel"/>
    <w:tmpl w:val="230028B6"/>
    <w:lvl w:ilvl="0" w:tplc="DE6C6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E8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6AE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A3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20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C8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2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CA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66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32D79"/>
    <w:multiLevelType w:val="hybridMultilevel"/>
    <w:tmpl w:val="4A3C3684"/>
    <w:lvl w:ilvl="0" w:tplc="44DC1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C1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AF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A8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CE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2C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43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49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C3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E41"/>
    <w:rsid w:val="000532BD"/>
    <w:rsid w:val="00055C12"/>
    <w:rsid w:val="000608B0"/>
    <w:rsid w:val="0006104C"/>
    <w:rsid w:val="00063DCB"/>
    <w:rsid w:val="00064BF2"/>
    <w:rsid w:val="000667BA"/>
    <w:rsid w:val="000676A7"/>
    <w:rsid w:val="00073914"/>
    <w:rsid w:val="00074236"/>
    <w:rsid w:val="000746BD"/>
    <w:rsid w:val="000761F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013"/>
    <w:rsid w:val="000D2778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6D1C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008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680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7C65"/>
    <w:rsid w:val="0024077A"/>
    <w:rsid w:val="00241EC1"/>
    <w:rsid w:val="002431DA"/>
    <w:rsid w:val="0024691D"/>
    <w:rsid w:val="00247D27"/>
    <w:rsid w:val="00250A50"/>
    <w:rsid w:val="00251ED5"/>
    <w:rsid w:val="002545A0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76D"/>
    <w:rsid w:val="00284E09"/>
    <w:rsid w:val="002874E3"/>
    <w:rsid w:val="00287656"/>
    <w:rsid w:val="00291518"/>
    <w:rsid w:val="00296FF0"/>
    <w:rsid w:val="002A17C0"/>
    <w:rsid w:val="002A198B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2469"/>
    <w:rsid w:val="00303B0C"/>
    <w:rsid w:val="0030459C"/>
    <w:rsid w:val="00313DFE"/>
    <w:rsid w:val="00314185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321"/>
    <w:rsid w:val="00387B60"/>
    <w:rsid w:val="00390098"/>
    <w:rsid w:val="00392DA1"/>
    <w:rsid w:val="00393718"/>
    <w:rsid w:val="003A0296"/>
    <w:rsid w:val="003A10BC"/>
    <w:rsid w:val="003A19F9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4E7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A19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087"/>
    <w:rsid w:val="004A03F7"/>
    <w:rsid w:val="004A081C"/>
    <w:rsid w:val="004A123F"/>
    <w:rsid w:val="004A2172"/>
    <w:rsid w:val="004B138F"/>
    <w:rsid w:val="004B412A"/>
    <w:rsid w:val="004B576C"/>
    <w:rsid w:val="004B772A"/>
    <w:rsid w:val="004C183C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523"/>
    <w:rsid w:val="004F326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A39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095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93B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47A9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E54"/>
    <w:rsid w:val="00794819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A7B"/>
    <w:rsid w:val="007D2892"/>
    <w:rsid w:val="007D2DCC"/>
    <w:rsid w:val="007D3D07"/>
    <w:rsid w:val="007D47E1"/>
    <w:rsid w:val="007D7B6C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5DD"/>
    <w:rsid w:val="00847C99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AC6"/>
    <w:rsid w:val="008D58F9"/>
    <w:rsid w:val="008E3338"/>
    <w:rsid w:val="008E47BE"/>
    <w:rsid w:val="008F09DF"/>
    <w:rsid w:val="008F3053"/>
    <w:rsid w:val="008F3136"/>
    <w:rsid w:val="008F40DF"/>
    <w:rsid w:val="008F4DB6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F76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271"/>
    <w:rsid w:val="0099403D"/>
    <w:rsid w:val="00995B0B"/>
    <w:rsid w:val="009A1883"/>
    <w:rsid w:val="009A39F5"/>
    <w:rsid w:val="009A4588"/>
    <w:rsid w:val="009A4A04"/>
    <w:rsid w:val="009A5EA5"/>
    <w:rsid w:val="009B00C2"/>
    <w:rsid w:val="009B2634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220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595"/>
    <w:rsid w:val="00A220C2"/>
    <w:rsid w:val="00A220FF"/>
    <w:rsid w:val="00A227E0"/>
    <w:rsid w:val="00A228E4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2D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517"/>
    <w:rsid w:val="00AF48B4"/>
    <w:rsid w:val="00AF4923"/>
    <w:rsid w:val="00AF7C74"/>
    <w:rsid w:val="00B000AF"/>
    <w:rsid w:val="00B04E79"/>
    <w:rsid w:val="00B07488"/>
    <w:rsid w:val="00B075A2"/>
    <w:rsid w:val="00B07623"/>
    <w:rsid w:val="00B10DD2"/>
    <w:rsid w:val="00B115DC"/>
    <w:rsid w:val="00B11952"/>
    <w:rsid w:val="00B14BD2"/>
    <w:rsid w:val="00B14ED1"/>
    <w:rsid w:val="00B1557F"/>
    <w:rsid w:val="00B1668D"/>
    <w:rsid w:val="00B17039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0EC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991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5A4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34B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00E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421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93D"/>
    <w:rsid w:val="00CE0884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89F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A1F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6FD9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BF0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6AA4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128"/>
    <w:rsid w:val="00ED68FB"/>
    <w:rsid w:val="00ED783A"/>
    <w:rsid w:val="00EE2E34"/>
    <w:rsid w:val="00EE2E91"/>
    <w:rsid w:val="00EE43A2"/>
    <w:rsid w:val="00EE46B7"/>
    <w:rsid w:val="00EE50C9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F51"/>
    <w:rsid w:val="00F036C3"/>
    <w:rsid w:val="00F0417E"/>
    <w:rsid w:val="00F05397"/>
    <w:rsid w:val="00F0638C"/>
    <w:rsid w:val="00F066EC"/>
    <w:rsid w:val="00F11E04"/>
    <w:rsid w:val="00F12B24"/>
    <w:rsid w:val="00F12BC7"/>
    <w:rsid w:val="00F15223"/>
    <w:rsid w:val="00F164B4"/>
    <w:rsid w:val="00F176E4"/>
    <w:rsid w:val="00F20E5F"/>
    <w:rsid w:val="00F23DBC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4D8"/>
    <w:rsid w:val="00F47DCA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DC7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223B62-8D51-4D2B-91B2-4CED10F0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47C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7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7C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7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7C99"/>
    <w:rPr>
      <w:b/>
      <w:bCs/>
    </w:rPr>
  </w:style>
  <w:style w:type="character" w:styleId="Hyperlink">
    <w:name w:val="Hyperlink"/>
    <w:basedOn w:val="DefaultParagraphFont"/>
    <w:unhideWhenUsed/>
    <w:rsid w:val="006E4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3228</Characters>
  <Application>Microsoft Office Word</Application>
  <DocSecurity>4</DocSecurity>
  <Lines>85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HB02044 (Committee Report (Substituted))</vt:lpstr>
    </vt:vector>
  </TitlesOfParts>
  <Company>State of Texas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21068</dc:subject>
  <dc:creator>State of Texas</dc:creator>
  <dc:description>HB 2044 by Leman-(H)Land &amp; Resource Management (Substitute Document Number: 87R 17678)</dc:description>
  <cp:lastModifiedBy>Emma Bodisch</cp:lastModifiedBy>
  <cp:revision>2</cp:revision>
  <cp:lastPrinted>2019-02-04T23:09:00Z</cp:lastPrinted>
  <dcterms:created xsi:type="dcterms:W3CDTF">2021-04-21T23:41:00Z</dcterms:created>
  <dcterms:modified xsi:type="dcterms:W3CDTF">2021-04-21T23:41:00Z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21.110.219</vt:lpwstr>
  </property>
</Properties>
</file>