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21E54" w14:paraId="6C43674A" w14:textId="77777777" w:rsidTr="00345119">
        <w:tc>
          <w:tcPr>
            <w:tcW w:w="9576" w:type="dxa"/>
            <w:noWrap/>
          </w:tcPr>
          <w:p w14:paraId="1D4B4930" w14:textId="77777777" w:rsidR="008423E4" w:rsidRPr="0022177D" w:rsidRDefault="00C13DA6" w:rsidP="0045464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0DE6C34" w14:textId="77777777" w:rsidR="008423E4" w:rsidRPr="0022177D" w:rsidRDefault="008423E4" w:rsidP="0045464C">
      <w:pPr>
        <w:jc w:val="center"/>
      </w:pPr>
    </w:p>
    <w:p w14:paraId="1FE9FD81" w14:textId="77777777" w:rsidR="008423E4" w:rsidRPr="00B31F0E" w:rsidRDefault="008423E4" w:rsidP="0045464C"/>
    <w:p w14:paraId="6EAF0604" w14:textId="77777777" w:rsidR="008423E4" w:rsidRPr="00742794" w:rsidRDefault="008423E4" w:rsidP="0045464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1E54" w14:paraId="0C306F29" w14:textId="77777777" w:rsidTr="00345119">
        <w:tc>
          <w:tcPr>
            <w:tcW w:w="9576" w:type="dxa"/>
          </w:tcPr>
          <w:p w14:paraId="4B86C495" w14:textId="21034646" w:rsidR="008423E4" w:rsidRPr="00861995" w:rsidRDefault="00C13DA6" w:rsidP="0045464C">
            <w:pPr>
              <w:jc w:val="right"/>
            </w:pPr>
            <w:r>
              <w:t>H.B. 2054</w:t>
            </w:r>
          </w:p>
        </w:tc>
      </w:tr>
      <w:tr w:rsidR="00521E54" w14:paraId="60965D59" w14:textId="77777777" w:rsidTr="00345119">
        <w:tc>
          <w:tcPr>
            <w:tcW w:w="9576" w:type="dxa"/>
          </w:tcPr>
          <w:p w14:paraId="39252201" w14:textId="7F9610AD" w:rsidR="008423E4" w:rsidRPr="00861995" w:rsidRDefault="00C13DA6" w:rsidP="0045464C">
            <w:pPr>
              <w:jc w:val="right"/>
            </w:pPr>
            <w:r>
              <w:t xml:space="preserve">By: </w:t>
            </w:r>
            <w:r w:rsidR="00636528">
              <w:t>Beckley</w:t>
            </w:r>
          </w:p>
        </w:tc>
      </w:tr>
      <w:tr w:rsidR="00521E54" w14:paraId="14D3231D" w14:textId="77777777" w:rsidTr="00345119">
        <w:tc>
          <w:tcPr>
            <w:tcW w:w="9576" w:type="dxa"/>
          </w:tcPr>
          <w:p w14:paraId="03880923" w14:textId="4586FEEE" w:rsidR="008423E4" w:rsidRPr="00861995" w:rsidRDefault="00C13DA6" w:rsidP="0045464C">
            <w:pPr>
              <w:jc w:val="right"/>
            </w:pPr>
            <w:r>
              <w:t>Licensing &amp; Administrative Procedures</w:t>
            </w:r>
          </w:p>
        </w:tc>
      </w:tr>
      <w:tr w:rsidR="00521E54" w14:paraId="504234A6" w14:textId="77777777" w:rsidTr="00345119">
        <w:tc>
          <w:tcPr>
            <w:tcW w:w="9576" w:type="dxa"/>
          </w:tcPr>
          <w:p w14:paraId="02F6C723" w14:textId="74FB5D4F" w:rsidR="008423E4" w:rsidRDefault="00C13DA6" w:rsidP="0045464C">
            <w:pPr>
              <w:jc w:val="right"/>
            </w:pPr>
            <w:r>
              <w:t>Committee Report (Unamended)</w:t>
            </w:r>
          </w:p>
        </w:tc>
      </w:tr>
    </w:tbl>
    <w:p w14:paraId="16EAA139" w14:textId="77777777" w:rsidR="008423E4" w:rsidRDefault="008423E4" w:rsidP="0045464C">
      <w:pPr>
        <w:tabs>
          <w:tab w:val="right" w:pos="9360"/>
        </w:tabs>
      </w:pPr>
    </w:p>
    <w:p w14:paraId="4237B4D0" w14:textId="77777777" w:rsidR="008423E4" w:rsidRDefault="008423E4" w:rsidP="0045464C"/>
    <w:p w14:paraId="6E2076BC" w14:textId="77777777" w:rsidR="008423E4" w:rsidRDefault="008423E4" w:rsidP="0045464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21E54" w14:paraId="2F281C99" w14:textId="77777777" w:rsidTr="00345119">
        <w:tc>
          <w:tcPr>
            <w:tcW w:w="9576" w:type="dxa"/>
          </w:tcPr>
          <w:p w14:paraId="0EE6FA49" w14:textId="5692EF83" w:rsidR="008423E4" w:rsidRPr="00636528" w:rsidRDefault="00C13DA6" w:rsidP="0045464C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EE1038" w14:textId="77777777" w:rsidR="008773AF" w:rsidRDefault="008773AF" w:rsidP="0045464C">
            <w:pPr>
              <w:jc w:val="both"/>
            </w:pPr>
          </w:p>
          <w:p w14:paraId="5F696C6E" w14:textId="5BB56B9B" w:rsidR="008423E4" w:rsidRDefault="00C13DA6" w:rsidP="0045464C">
            <w:pPr>
              <w:jc w:val="both"/>
            </w:pPr>
            <w:r>
              <w:t>C</w:t>
            </w:r>
            <w:r w:rsidR="005B349B">
              <w:t xml:space="preserve">onfusion </w:t>
            </w:r>
            <w:r>
              <w:t xml:space="preserve">surrounds the </w:t>
            </w:r>
            <w:r w:rsidR="00212725">
              <w:t xml:space="preserve">many </w:t>
            </w:r>
            <w:r w:rsidR="005B349B">
              <w:t>naming conventions</w:t>
            </w:r>
            <w:r w:rsidR="00212725">
              <w:t xml:space="preserve"> used by</w:t>
            </w:r>
            <w:r w:rsidR="005B349B">
              <w:t xml:space="preserve"> m</w:t>
            </w:r>
            <w:r w:rsidR="00636528" w:rsidRPr="00FB76DA">
              <w:t>assage therapy</w:t>
            </w:r>
            <w:r w:rsidR="006269D8">
              <w:t xml:space="preserve"> establishments</w:t>
            </w:r>
            <w:r w:rsidR="005B349B">
              <w:t xml:space="preserve"> and sexually oriented businesses</w:t>
            </w:r>
            <w:r w:rsidR="00212725">
              <w:t xml:space="preserve"> and the effect the confusing terms have on efficient regulation of </w:t>
            </w:r>
            <w:r w:rsidR="00B1162E">
              <w:t>these businesses.</w:t>
            </w:r>
            <w:r w:rsidR="00636528" w:rsidRPr="00FB76DA">
              <w:t xml:space="preserve"> </w:t>
            </w:r>
            <w:r w:rsidR="00703CD6">
              <w:t>It has been noted that t</w:t>
            </w:r>
            <w:r w:rsidR="00636528" w:rsidRPr="00FB76DA">
              <w:t xml:space="preserve">his confusion </w:t>
            </w:r>
            <w:r w:rsidR="00703CD6">
              <w:t>may contribute to</w:t>
            </w:r>
            <w:r w:rsidR="00636528">
              <w:t xml:space="preserve"> unrestricted operation of </w:t>
            </w:r>
            <w:r w:rsidR="006269D8">
              <w:t xml:space="preserve">certain </w:t>
            </w:r>
            <w:r w:rsidR="00636528">
              <w:t xml:space="preserve">sexually oriented businesses that could </w:t>
            </w:r>
            <w:r w:rsidR="0096263C">
              <w:t>affect</w:t>
            </w:r>
            <w:r w:rsidR="00636528">
              <w:t xml:space="preserve"> the public health, safety, and </w:t>
            </w:r>
            <w:r w:rsidR="0096263C">
              <w:t xml:space="preserve">business interests </w:t>
            </w:r>
            <w:r w:rsidR="00636528">
              <w:t xml:space="preserve">of </w:t>
            </w:r>
            <w:r>
              <w:t>nearby c</w:t>
            </w:r>
            <w:r w:rsidR="00636528">
              <w:t>ommunit</w:t>
            </w:r>
            <w:r>
              <w:t>ies</w:t>
            </w:r>
            <w:r w:rsidR="00636528">
              <w:t xml:space="preserve">. </w:t>
            </w:r>
            <w:r w:rsidR="005B349B">
              <w:t xml:space="preserve">H.B. 2054 seeks to </w:t>
            </w:r>
            <w:r w:rsidR="00B1162E">
              <w:t xml:space="preserve">reduce </w:t>
            </w:r>
            <w:r w:rsidR="005B349B">
              <w:t>this confusion by</w:t>
            </w:r>
            <w:r w:rsidR="00636528">
              <w:t xml:space="preserve"> </w:t>
            </w:r>
            <w:r w:rsidR="0096263C">
              <w:t>replacing</w:t>
            </w:r>
            <w:r w:rsidR="00636528">
              <w:t xml:space="preserve"> the </w:t>
            </w:r>
            <w:r w:rsidR="0096263C">
              <w:t>term</w:t>
            </w:r>
            <w:r w:rsidR="00636528">
              <w:t xml:space="preserve"> </w:t>
            </w:r>
            <w:r w:rsidR="009F0325">
              <w:t>"</w:t>
            </w:r>
            <w:r w:rsidR="00636528">
              <w:t>massage parlor</w:t>
            </w:r>
            <w:r w:rsidR="0096263C">
              <w:t>" with the term</w:t>
            </w:r>
            <w:r w:rsidR="00636528">
              <w:t xml:space="preserve"> </w:t>
            </w:r>
            <w:r w:rsidR="009F0325">
              <w:t>"</w:t>
            </w:r>
            <w:r w:rsidR="00636528">
              <w:t>sex</w:t>
            </w:r>
            <w:r w:rsidR="0096263C">
              <w:t xml:space="preserve"> parlor</w:t>
            </w:r>
            <w:r w:rsidR="009F0325">
              <w:t xml:space="preserve">" </w:t>
            </w:r>
            <w:r w:rsidR="00B1162E">
              <w:t>and providing for both the municipal and county regulation of a sex parlor as a sexually oriented business, with applicable civil and criminal penalties.</w:t>
            </w:r>
          </w:p>
          <w:p w14:paraId="376B6C57" w14:textId="280192CC" w:rsidR="009F0325" w:rsidRPr="00E26B13" w:rsidRDefault="009F0325" w:rsidP="0045464C">
            <w:pPr>
              <w:jc w:val="both"/>
              <w:rPr>
                <w:b/>
              </w:rPr>
            </w:pPr>
          </w:p>
        </w:tc>
      </w:tr>
      <w:tr w:rsidR="00521E54" w14:paraId="0EE6DB1A" w14:textId="77777777" w:rsidTr="00345119">
        <w:tc>
          <w:tcPr>
            <w:tcW w:w="9576" w:type="dxa"/>
          </w:tcPr>
          <w:p w14:paraId="30DDEF00" w14:textId="77777777" w:rsidR="0017725B" w:rsidRDefault="00C13DA6" w:rsidP="004546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D26AF89" w14:textId="77777777" w:rsidR="0017725B" w:rsidRDefault="0017725B" w:rsidP="0045464C">
            <w:pPr>
              <w:rPr>
                <w:b/>
                <w:u w:val="single"/>
              </w:rPr>
            </w:pPr>
          </w:p>
          <w:p w14:paraId="320796C7" w14:textId="32CDD73B" w:rsidR="005F65FC" w:rsidRPr="005F65FC" w:rsidRDefault="00C13DA6" w:rsidP="0045464C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</w:t>
            </w:r>
            <w:r>
              <w:t>existing criminal offense or category of offenses, or changes the eligibility of a person for community supervision, parole, or mandatory supervision.</w:t>
            </w:r>
          </w:p>
          <w:p w14:paraId="201CE0C0" w14:textId="77777777" w:rsidR="0017725B" w:rsidRPr="0017725B" w:rsidRDefault="0017725B" w:rsidP="0045464C">
            <w:pPr>
              <w:rPr>
                <w:b/>
                <w:u w:val="single"/>
              </w:rPr>
            </w:pPr>
          </w:p>
        </w:tc>
      </w:tr>
      <w:tr w:rsidR="00521E54" w14:paraId="2205103C" w14:textId="77777777" w:rsidTr="00345119">
        <w:tc>
          <w:tcPr>
            <w:tcW w:w="9576" w:type="dxa"/>
          </w:tcPr>
          <w:p w14:paraId="49703482" w14:textId="77777777" w:rsidR="008423E4" w:rsidRPr="00A8133F" w:rsidRDefault="00C13DA6" w:rsidP="004546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09B44AD" w14:textId="77777777" w:rsidR="008423E4" w:rsidRDefault="008423E4" w:rsidP="0045464C"/>
          <w:p w14:paraId="0FA69ECE" w14:textId="77777777" w:rsidR="0059661C" w:rsidRDefault="00C13DA6" w:rsidP="00454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</w:t>
            </w:r>
            <w:r>
              <w:t>onal rulemaking authority to a state officer, department, agency, or institution.</w:t>
            </w:r>
          </w:p>
          <w:p w14:paraId="0627055A" w14:textId="77777777" w:rsidR="008423E4" w:rsidRPr="00E21FDC" w:rsidRDefault="008423E4" w:rsidP="0045464C">
            <w:pPr>
              <w:rPr>
                <w:b/>
              </w:rPr>
            </w:pPr>
          </w:p>
        </w:tc>
      </w:tr>
      <w:tr w:rsidR="00521E54" w14:paraId="1A62C55B" w14:textId="77777777" w:rsidTr="00345119">
        <w:tc>
          <w:tcPr>
            <w:tcW w:w="9576" w:type="dxa"/>
          </w:tcPr>
          <w:p w14:paraId="374C8CAA" w14:textId="77777777" w:rsidR="008423E4" w:rsidRPr="00A8133F" w:rsidRDefault="00C13DA6" w:rsidP="004546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BD1873" w14:textId="77777777" w:rsidR="008423E4" w:rsidRDefault="008423E4" w:rsidP="0045464C"/>
          <w:p w14:paraId="51E17F04" w14:textId="7203CCA9" w:rsidR="00386BCA" w:rsidRDefault="00C13DA6" w:rsidP="00454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2054 amends the </w:t>
            </w:r>
            <w:r w:rsidRPr="00066799">
              <w:t>Local Government Code</w:t>
            </w:r>
            <w:r>
              <w:t xml:space="preserve"> </w:t>
            </w:r>
            <w:r w:rsidR="00244486">
              <w:t>as follows</w:t>
            </w:r>
            <w:r>
              <w:t>:</w:t>
            </w:r>
          </w:p>
          <w:p w14:paraId="4B1B7E23" w14:textId="763EAF84" w:rsidR="00244486" w:rsidRDefault="00C13DA6" w:rsidP="0045464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="003B2724">
              <w:t xml:space="preserve">transfer </w:t>
            </w:r>
            <w:r w:rsidR="006B3113">
              <w:t xml:space="preserve">the </w:t>
            </w:r>
            <w:r w:rsidR="003B2724">
              <w:t xml:space="preserve">statutory </w:t>
            </w:r>
            <w:r w:rsidR="006B3113">
              <w:t xml:space="preserve">provisions governing the county regulation of massage parlors </w:t>
            </w:r>
            <w:r w:rsidR="000313F1">
              <w:t xml:space="preserve">to </w:t>
            </w:r>
            <w:r w:rsidR="003B2724">
              <w:t xml:space="preserve">the statutory framework governing the municipal and county authority to regulate sexually </w:t>
            </w:r>
            <w:r w:rsidR="00B31DAB">
              <w:t>oriented business</w:t>
            </w:r>
            <w:r>
              <w:t>es;</w:t>
            </w:r>
            <w:r w:rsidR="00386BCA">
              <w:t xml:space="preserve"> </w:t>
            </w:r>
          </w:p>
          <w:p w14:paraId="78164EFB" w14:textId="073A6865" w:rsidR="00386BCA" w:rsidRDefault="00C13DA6" w:rsidP="0045464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to regulate a massage parlor as a sex parlor under the resulting statutory framework</w:t>
            </w:r>
            <w:r w:rsidR="00E43A38">
              <w:t xml:space="preserve"> regarding sexually oriented businesses</w:t>
            </w:r>
            <w:r w:rsidR="00973A89">
              <w:t xml:space="preserve">; </w:t>
            </w:r>
          </w:p>
          <w:p w14:paraId="075F9A38" w14:textId="582359BE" w:rsidR="001A6333" w:rsidRDefault="00C13DA6" w:rsidP="0045464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="00E9551D">
              <w:t>redefine a "massage parlor"</w:t>
            </w:r>
            <w:r w:rsidR="00B31DAB">
              <w:t xml:space="preserve"> </w:t>
            </w:r>
            <w:r w:rsidR="00483E6A">
              <w:t>a</w:t>
            </w:r>
            <w:r w:rsidR="00E9551D">
              <w:t>s a</w:t>
            </w:r>
            <w:r w:rsidR="00483E6A">
              <w:t xml:space="preserve"> </w:t>
            </w:r>
            <w:r w:rsidR="00B31DAB">
              <w:t xml:space="preserve">"sex parlor" </w:t>
            </w:r>
            <w:r w:rsidR="00D27259">
              <w:t xml:space="preserve">for purposes </w:t>
            </w:r>
            <w:r>
              <w:t>of th</w:t>
            </w:r>
            <w:r w:rsidR="00386BCA">
              <w:t xml:space="preserve">e </w:t>
            </w:r>
            <w:r w:rsidR="00973A89">
              <w:t>resulting</w:t>
            </w:r>
            <w:r>
              <w:t xml:space="preserve"> </w:t>
            </w:r>
            <w:r w:rsidR="00973A89">
              <w:t>statutory framework</w:t>
            </w:r>
            <w:r w:rsidR="00386BCA">
              <w:t xml:space="preserve"> </w:t>
            </w:r>
            <w:r>
              <w:t xml:space="preserve">to </w:t>
            </w:r>
            <w:r w:rsidR="00386BCA">
              <w:t>c</w:t>
            </w:r>
            <w:r>
              <w:t xml:space="preserve">larify </w:t>
            </w:r>
            <w:r w:rsidR="00D27259">
              <w:t xml:space="preserve">that a sex parlor is </w:t>
            </w:r>
            <w:r w:rsidR="00D90292" w:rsidRPr="00D90292">
              <w:t xml:space="preserve">a </w:t>
            </w:r>
            <w:r w:rsidR="00E43A38">
              <w:t xml:space="preserve">sexually oriented </w:t>
            </w:r>
            <w:r w:rsidR="00D90292" w:rsidRPr="00D90292">
              <w:t xml:space="preserve">business establishment that </w:t>
            </w:r>
            <w:r>
              <w:t>does the following:</w:t>
            </w:r>
          </w:p>
          <w:p w14:paraId="79AC10C9" w14:textId="77777777" w:rsidR="001A6333" w:rsidRDefault="00C13DA6" w:rsidP="0045464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90292">
              <w:t>purports to provide</w:t>
            </w:r>
            <w:r>
              <w:t xml:space="preserve"> </w:t>
            </w:r>
            <w:r w:rsidRPr="00D90292">
              <w:t>services involving physical contact with a customer</w:t>
            </w:r>
            <w:r>
              <w:t>;</w:t>
            </w:r>
          </w:p>
          <w:p w14:paraId="590CE2EF" w14:textId="77777777" w:rsidR="001A6333" w:rsidRDefault="00C13DA6" w:rsidP="0045464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90292">
              <w:t>allows</w:t>
            </w:r>
            <w:r>
              <w:t xml:space="preserve"> </w:t>
            </w:r>
            <w:r w:rsidRPr="00D90292">
              <w:t>a person to engage in sexual contact for compensation</w:t>
            </w:r>
            <w:r>
              <w:t xml:space="preserve">; or </w:t>
            </w:r>
          </w:p>
          <w:p w14:paraId="3E5A632B" w14:textId="77777777" w:rsidR="00020C20" w:rsidRDefault="00C13DA6" w:rsidP="0045464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allows a person to </w:t>
            </w:r>
            <w:r w:rsidR="00D90292" w:rsidRPr="00D90292">
              <w:t>provide</w:t>
            </w:r>
            <w:r w:rsidR="00D90292">
              <w:t xml:space="preserve"> </w:t>
            </w:r>
            <w:r w:rsidR="00D90292" w:rsidRPr="00D90292">
              <w:t>services involving physical contact with a customer in a private or semiprivate location while nude or wearing</w:t>
            </w:r>
            <w:r w:rsidR="00D90292">
              <w:t xml:space="preserve"> </w:t>
            </w:r>
            <w:r w:rsidR="00D90292" w:rsidRPr="00D90292">
              <w:t>clothing intended to arouse or gratify the sexual desire of any person</w:t>
            </w:r>
            <w:r w:rsidR="000313F1">
              <w:t>;</w:t>
            </w:r>
            <w:r>
              <w:t xml:space="preserve"> and </w:t>
            </w:r>
          </w:p>
          <w:p w14:paraId="1EA07F94" w14:textId="6686099A" w:rsidR="00973A89" w:rsidRDefault="00C13DA6" w:rsidP="0045464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accordingly, to update the resulting statutory framework with respect to the transfer and redefined term to clarify </w:t>
            </w:r>
            <w:r w:rsidR="00E43A38">
              <w:t xml:space="preserve">that the </w:t>
            </w:r>
            <w:r>
              <w:t>regulatory provisions related to the following</w:t>
            </w:r>
            <w:r w:rsidR="005F65FC">
              <w:t>, including certain civil or criminal penalties,</w:t>
            </w:r>
            <w:r w:rsidR="00B1162E">
              <w:t xml:space="preserve"> are applicable to </w:t>
            </w:r>
            <w:r w:rsidR="00E43A38">
              <w:t xml:space="preserve">a sex parlor regulated as a </w:t>
            </w:r>
            <w:r w:rsidR="00B1162E">
              <w:t>sexually oriented business</w:t>
            </w:r>
            <w:r w:rsidR="00E43A38">
              <w:t>:</w:t>
            </w:r>
          </w:p>
          <w:p w14:paraId="19143947" w14:textId="44AAF047" w:rsidR="00C53328" w:rsidRDefault="00C13DA6" w:rsidP="0045464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the general purpose</w:t>
            </w:r>
            <w:r w:rsidR="00763414">
              <w:t>s</w:t>
            </w:r>
            <w:r>
              <w:t xml:space="preserve"> of regulation </w:t>
            </w:r>
            <w:r w:rsidR="00E43A38">
              <w:t xml:space="preserve">of a sexually oriented business </w:t>
            </w:r>
            <w:r>
              <w:t>and the effect on other regulatory authority;</w:t>
            </w:r>
          </w:p>
          <w:p w14:paraId="67924896" w14:textId="428B8023" w:rsidR="00C53328" w:rsidRDefault="00C13DA6" w:rsidP="0045464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businesses that are exempt </w:t>
            </w:r>
            <w:r w:rsidR="000D709F">
              <w:t xml:space="preserve">and that are not exempt </w:t>
            </w:r>
            <w:r>
              <w:t>from such regulatory author</w:t>
            </w:r>
            <w:r>
              <w:t>ity;</w:t>
            </w:r>
          </w:p>
          <w:p w14:paraId="72BDFED7" w14:textId="1D390540" w:rsidR="00C53328" w:rsidRDefault="00C13DA6" w:rsidP="0045464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the authorization for adopted regulations to provide for the denial, suspension, or revocation of a license or other permit;</w:t>
            </w:r>
          </w:p>
          <w:p w14:paraId="2F8B34E7" w14:textId="60EBD47D" w:rsidR="00C53328" w:rsidRDefault="00C13DA6" w:rsidP="0045464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authorized inspections of a sexually oriented business</w:t>
            </w:r>
            <w:r w:rsidR="000D709F">
              <w:t>;</w:t>
            </w:r>
          </w:p>
          <w:p w14:paraId="5243BABE" w14:textId="10968191" w:rsidR="000D709F" w:rsidRDefault="00C13DA6" w:rsidP="0045464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authorized fees on applicants for the issuance or renewal of a license</w:t>
            </w:r>
            <w:r>
              <w:t xml:space="preserve"> or permit;</w:t>
            </w:r>
          </w:p>
          <w:p w14:paraId="4E166FE2" w14:textId="0A6F5DBB" w:rsidR="00EB70D7" w:rsidRDefault="00C13DA6" w:rsidP="0045464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the general enforcement authority of a municipality or county to sue for an injunction to prohibit a violation of an applicable regulation</w:t>
            </w:r>
            <w:r w:rsidR="0098263F">
              <w:t xml:space="preserve">, </w:t>
            </w:r>
            <w:r>
              <w:t xml:space="preserve">the corresponding Class A misdemeanor punishment for a violation </w:t>
            </w:r>
            <w:r w:rsidR="00CB5814">
              <w:t>of regulations governi</w:t>
            </w:r>
            <w:r>
              <w:t xml:space="preserve">ng sexually </w:t>
            </w:r>
            <w:r>
              <w:t>oriented businesses</w:t>
            </w:r>
            <w:r w:rsidR="0098263F">
              <w:t>,</w:t>
            </w:r>
            <w:r>
              <w:t xml:space="preserve"> and the effect of such regulation on anything prohibited under the Penal Code or other state law;</w:t>
            </w:r>
          </w:p>
          <w:p w14:paraId="06E09184" w14:textId="647193A4" w:rsidR="00973A89" w:rsidRDefault="00C13DA6" w:rsidP="0045464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0D709F">
              <w:t xml:space="preserve">explicit authority of a </w:t>
            </w:r>
            <w:r>
              <w:t>municipal</w:t>
            </w:r>
            <w:r w:rsidR="000D709F">
              <w:t>ity</w:t>
            </w:r>
            <w:r>
              <w:t xml:space="preserve"> and county to regulate </w:t>
            </w:r>
            <w:r w:rsidR="000D709F">
              <w:t>a sex parlor</w:t>
            </w:r>
            <w:r>
              <w:t xml:space="preserve"> as a sexually oriented business</w:t>
            </w:r>
            <w:r w:rsidR="00EB70D7">
              <w:t xml:space="preserve"> by municipal ordinance or commissioners court order;</w:t>
            </w:r>
            <w:r w:rsidR="00E43A38">
              <w:t xml:space="preserve"> and</w:t>
            </w:r>
          </w:p>
          <w:p w14:paraId="6A0E2340" w14:textId="1E41500D" w:rsidR="00997CC1" w:rsidRDefault="00C13DA6" w:rsidP="0045464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an injunction brought by a district or county attorney regarding a sex parlor that has previously violated an applicable</w:t>
            </w:r>
            <w:r w:rsidR="0098263F">
              <w:t xml:space="preserve"> prohibition or regulation regarding </w:t>
            </w:r>
            <w:r w:rsidR="005F65FC">
              <w:t>sex parlors</w:t>
            </w:r>
            <w:r w:rsidR="0098263F">
              <w:t xml:space="preserve">, the corresponding civil penalty and Class A misdemeanor punishment for a violation of regulations governing </w:t>
            </w:r>
            <w:r w:rsidR="005F65FC">
              <w:t>sex parlors</w:t>
            </w:r>
            <w:r w:rsidR="0098263F">
              <w:t>, the cumulative effect</w:t>
            </w:r>
            <w:r w:rsidR="00212725">
              <w:t xml:space="preserve"> of other county or municipal authority to regulate sex parlors, and </w:t>
            </w:r>
            <w:r w:rsidR="0098263F">
              <w:t>the effect of such regulation on anything prohibited under the Penal Code or other state law</w:t>
            </w:r>
            <w:r w:rsidR="00212725">
              <w:t>.</w:t>
            </w:r>
          </w:p>
          <w:p w14:paraId="029CE292" w14:textId="77777777" w:rsidR="00212725" w:rsidRDefault="00212725" w:rsidP="00454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2CDE64" w14:textId="77777777" w:rsidR="0059661C" w:rsidRPr="009C36CD" w:rsidRDefault="00C13DA6" w:rsidP="00454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2054 amends the </w:t>
            </w:r>
            <w:r w:rsidRPr="0059661C">
              <w:t>Alcoholic Beverage Code</w:t>
            </w:r>
            <w:r>
              <w:t xml:space="preserve"> to make a conforming change. </w:t>
            </w:r>
          </w:p>
          <w:p w14:paraId="485C5CD9" w14:textId="77777777" w:rsidR="008423E4" w:rsidRPr="00835628" w:rsidRDefault="008423E4" w:rsidP="0045464C">
            <w:pPr>
              <w:rPr>
                <w:b/>
              </w:rPr>
            </w:pPr>
          </w:p>
        </w:tc>
      </w:tr>
      <w:tr w:rsidR="00521E54" w14:paraId="303637C1" w14:textId="77777777" w:rsidTr="00345119">
        <w:tc>
          <w:tcPr>
            <w:tcW w:w="9576" w:type="dxa"/>
          </w:tcPr>
          <w:p w14:paraId="5A39E356" w14:textId="77777777" w:rsidR="008423E4" w:rsidRPr="00A8133F" w:rsidRDefault="00C13DA6" w:rsidP="004546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9D34BAE" w14:textId="77777777" w:rsidR="008423E4" w:rsidRDefault="008423E4" w:rsidP="0045464C"/>
          <w:p w14:paraId="3A0B5290" w14:textId="77777777" w:rsidR="008423E4" w:rsidRPr="003624F2" w:rsidRDefault="00C13DA6" w:rsidP="00454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F6B3DFF" w14:textId="77777777" w:rsidR="008423E4" w:rsidRPr="00233FDB" w:rsidRDefault="008423E4" w:rsidP="0045464C">
            <w:pPr>
              <w:rPr>
                <w:b/>
              </w:rPr>
            </w:pPr>
          </w:p>
        </w:tc>
      </w:tr>
    </w:tbl>
    <w:p w14:paraId="2B05B1F8" w14:textId="77777777" w:rsidR="008423E4" w:rsidRPr="00BE0E75" w:rsidRDefault="008423E4" w:rsidP="0045464C">
      <w:pPr>
        <w:jc w:val="both"/>
        <w:rPr>
          <w:rFonts w:ascii="Arial" w:hAnsi="Arial"/>
          <w:sz w:val="16"/>
          <w:szCs w:val="16"/>
        </w:rPr>
      </w:pPr>
    </w:p>
    <w:p w14:paraId="14893C2E" w14:textId="77777777" w:rsidR="004108C3" w:rsidRPr="008423E4" w:rsidRDefault="004108C3" w:rsidP="0045464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EF0D" w14:textId="77777777" w:rsidR="00000000" w:rsidRDefault="00C13DA6">
      <w:r>
        <w:separator/>
      </w:r>
    </w:p>
  </w:endnote>
  <w:endnote w:type="continuationSeparator" w:id="0">
    <w:p w14:paraId="54322808" w14:textId="77777777" w:rsidR="00000000" w:rsidRDefault="00C1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E66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1E54" w14:paraId="4B9BCBF4" w14:textId="77777777" w:rsidTr="009C1E9A">
      <w:trPr>
        <w:cantSplit/>
      </w:trPr>
      <w:tc>
        <w:tcPr>
          <w:tcW w:w="0" w:type="pct"/>
        </w:tcPr>
        <w:p w14:paraId="40D736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5482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19D3A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DA35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45CB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1E54" w14:paraId="50008ABE" w14:textId="77777777" w:rsidTr="009C1E9A">
      <w:trPr>
        <w:cantSplit/>
      </w:trPr>
      <w:tc>
        <w:tcPr>
          <w:tcW w:w="0" w:type="pct"/>
        </w:tcPr>
        <w:p w14:paraId="32EC38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338C02" w14:textId="5C5FA5F3" w:rsidR="00EC379B" w:rsidRPr="009C1E9A" w:rsidRDefault="00C13D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23573</w:t>
          </w:r>
        </w:p>
      </w:tc>
      <w:tc>
        <w:tcPr>
          <w:tcW w:w="2453" w:type="pct"/>
        </w:tcPr>
        <w:p w14:paraId="738F0004" w14:textId="6118389A" w:rsidR="00EC379B" w:rsidRDefault="00C13D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01D8A">
            <w:t>21.121.386</w:t>
          </w:r>
          <w:r>
            <w:fldChar w:fldCharType="end"/>
          </w:r>
        </w:p>
      </w:tc>
    </w:tr>
    <w:tr w:rsidR="00521E54" w14:paraId="2F739328" w14:textId="77777777" w:rsidTr="009C1E9A">
      <w:trPr>
        <w:cantSplit/>
      </w:trPr>
      <w:tc>
        <w:tcPr>
          <w:tcW w:w="0" w:type="pct"/>
        </w:tcPr>
        <w:p w14:paraId="3FD78D7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59E98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361238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09CEE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1E54" w14:paraId="1342856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FE12AE9" w14:textId="428FF025" w:rsidR="00EC379B" w:rsidRDefault="00C13D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01D8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C3834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04090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637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E625C" w14:textId="77777777" w:rsidR="00000000" w:rsidRDefault="00C13DA6">
      <w:r>
        <w:separator/>
      </w:r>
    </w:p>
  </w:footnote>
  <w:footnote w:type="continuationSeparator" w:id="0">
    <w:p w14:paraId="20EA5883" w14:textId="77777777" w:rsidR="00000000" w:rsidRDefault="00C1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008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970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C49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F8B"/>
    <w:multiLevelType w:val="hybridMultilevel"/>
    <w:tmpl w:val="4016090A"/>
    <w:lvl w:ilvl="0" w:tplc="7C0A0B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E182A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60A2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CA1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564D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8411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ECA1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D007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96DC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66EBB"/>
    <w:multiLevelType w:val="hybridMultilevel"/>
    <w:tmpl w:val="9206663C"/>
    <w:lvl w:ilvl="0" w:tplc="E1E483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2C2D5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10A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0874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D0D9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60DE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F4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14BF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AC63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05094"/>
    <w:multiLevelType w:val="hybridMultilevel"/>
    <w:tmpl w:val="5DA879CE"/>
    <w:lvl w:ilvl="0" w:tplc="64C65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CA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62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0C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4E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48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A2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62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62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D1"/>
    <w:multiLevelType w:val="hybridMultilevel"/>
    <w:tmpl w:val="9D928F58"/>
    <w:lvl w:ilvl="0" w:tplc="B8089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C3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67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2B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80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CE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01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E0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0F6C"/>
    <w:multiLevelType w:val="hybridMultilevel"/>
    <w:tmpl w:val="93468DD6"/>
    <w:lvl w:ilvl="0" w:tplc="ACD63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A2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66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4B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CC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86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AE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C3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6A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3674"/>
    <w:multiLevelType w:val="hybridMultilevel"/>
    <w:tmpl w:val="347AB934"/>
    <w:lvl w:ilvl="0" w:tplc="81844D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65824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70C2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B411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20F9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FA4C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9C6C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92B1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DAD1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C20"/>
    <w:rsid w:val="00020E9B"/>
    <w:rsid w:val="000236C1"/>
    <w:rsid w:val="000236EC"/>
    <w:rsid w:val="0002413D"/>
    <w:rsid w:val="000249F2"/>
    <w:rsid w:val="00027E81"/>
    <w:rsid w:val="00030AD8"/>
    <w:rsid w:val="0003107A"/>
    <w:rsid w:val="000313F1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369"/>
    <w:rsid w:val="00064BF2"/>
    <w:rsid w:val="00066799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09F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22D"/>
    <w:rsid w:val="001A6333"/>
    <w:rsid w:val="001B053A"/>
    <w:rsid w:val="001B26D8"/>
    <w:rsid w:val="001B2B59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18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2725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486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973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BCA"/>
    <w:rsid w:val="0038731D"/>
    <w:rsid w:val="00387B60"/>
    <w:rsid w:val="00390098"/>
    <w:rsid w:val="00392DA1"/>
    <w:rsid w:val="00393718"/>
    <w:rsid w:val="003A0296"/>
    <w:rsid w:val="003A10BC"/>
    <w:rsid w:val="003B0F65"/>
    <w:rsid w:val="003B1501"/>
    <w:rsid w:val="003B185E"/>
    <w:rsid w:val="003B198A"/>
    <w:rsid w:val="003B1CA3"/>
    <w:rsid w:val="003B1ED9"/>
    <w:rsid w:val="003B2724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0C5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64C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3E6A"/>
    <w:rsid w:val="00484167"/>
    <w:rsid w:val="00492211"/>
    <w:rsid w:val="00492325"/>
    <w:rsid w:val="00492A6D"/>
    <w:rsid w:val="0049322B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E54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067"/>
    <w:rsid w:val="005847EF"/>
    <w:rsid w:val="005851E6"/>
    <w:rsid w:val="005878B7"/>
    <w:rsid w:val="00592C9A"/>
    <w:rsid w:val="00593DF8"/>
    <w:rsid w:val="00595745"/>
    <w:rsid w:val="0059661C"/>
    <w:rsid w:val="005A0E18"/>
    <w:rsid w:val="005A12A5"/>
    <w:rsid w:val="005A3790"/>
    <w:rsid w:val="005A3CCB"/>
    <w:rsid w:val="005A6D13"/>
    <w:rsid w:val="005B031F"/>
    <w:rsid w:val="005B1958"/>
    <w:rsid w:val="005B3298"/>
    <w:rsid w:val="005B349B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5FC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9D8"/>
    <w:rsid w:val="006272DD"/>
    <w:rsid w:val="00630963"/>
    <w:rsid w:val="00631897"/>
    <w:rsid w:val="00632928"/>
    <w:rsid w:val="006330DA"/>
    <w:rsid w:val="00633262"/>
    <w:rsid w:val="00633460"/>
    <w:rsid w:val="00636528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A5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113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73E"/>
    <w:rsid w:val="00702BE5"/>
    <w:rsid w:val="007031BD"/>
    <w:rsid w:val="00703CD6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41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27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7DE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3AF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724"/>
    <w:rsid w:val="008F09DF"/>
    <w:rsid w:val="008F3053"/>
    <w:rsid w:val="008F3136"/>
    <w:rsid w:val="008F342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63C"/>
    <w:rsid w:val="0096482F"/>
    <w:rsid w:val="00964E3A"/>
    <w:rsid w:val="00967126"/>
    <w:rsid w:val="00970EAE"/>
    <w:rsid w:val="00971627"/>
    <w:rsid w:val="00972797"/>
    <w:rsid w:val="0097279D"/>
    <w:rsid w:val="00973A89"/>
    <w:rsid w:val="00976837"/>
    <w:rsid w:val="00980311"/>
    <w:rsid w:val="0098170E"/>
    <w:rsid w:val="0098263F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CC1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325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D8A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88A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A68"/>
    <w:rsid w:val="00AC2E9A"/>
    <w:rsid w:val="00AC33A1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D6D"/>
    <w:rsid w:val="00B04E79"/>
    <w:rsid w:val="00B07488"/>
    <w:rsid w:val="00B075A2"/>
    <w:rsid w:val="00B10DD2"/>
    <w:rsid w:val="00B115DC"/>
    <w:rsid w:val="00B1162E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DAB"/>
    <w:rsid w:val="00B31F0E"/>
    <w:rsid w:val="00B34F25"/>
    <w:rsid w:val="00B43672"/>
    <w:rsid w:val="00B473D8"/>
    <w:rsid w:val="00B47E44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8A9"/>
    <w:rsid w:val="00B95BC8"/>
    <w:rsid w:val="00B96E87"/>
    <w:rsid w:val="00BA146A"/>
    <w:rsid w:val="00BA32EE"/>
    <w:rsid w:val="00BA415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DA6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328"/>
    <w:rsid w:val="00C55898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700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E03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814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259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292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ACD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3A38"/>
    <w:rsid w:val="00E443CE"/>
    <w:rsid w:val="00E45547"/>
    <w:rsid w:val="00E478F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51D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0D7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5CE0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CEE"/>
    <w:rsid w:val="00FB16CD"/>
    <w:rsid w:val="00FB73AE"/>
    <w:rsid w:val="00FB76DA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526ED5-71DB-41CA-80BA-FA89A7C4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23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2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23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2369"/>
    <w:rPr>
      <w:b/>
      <w:bCs/>
    </w:rPr>
  </w:style>
  <w:style w:type="paragraph" w:customStyle="1" w:styleId="Default">
    <w:name w:val="Default"/>
    <w:rsid w:val="0063652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3511</Characters>
  <Application>Microsoft Office Word</Application>
  <DocSecurity>4</DocSecurity>
  <Lines>83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HB02054 (Committee Report (Unamended))</vt:lpstr>
    </vt:vector>
  </TitlesOfParts>
  <Company>State of Texas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23573</dc:subject>
  <dc:creator>State of Texas</dc:creator>
  <dc:description>HB 2054 by Beckley-(H)Licensing &amp; Administrative Procedures</dc:description>
  <cp:lastModifiedBy>Lauren Bustamante</cp:lastModifiedBy>
  <cp:revision>2</cp:revision>
  <cp:lastPrinted>2003-11-26T17:21:00Z</cp:lastPrinted>
  <dcterms:created xsi:type="dcterms:W3CDTF">2021-05-04T23:16:00Z</dcterms:created>
  <dcterms:modified xsi:type="dcterms:W3CDTF">2021-05-04T23:16:00Z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21.121.386</vt:lpwstr>
  </property>
</Properties>
</file>