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24EEC" w14:paraId="4EDF1B75" w14:textId="77777777" w:rsidTr="00345119">
        <w:tc>
          <w:tcPr>
            <w:tcW w:w="9576" w:type="dxa"/>
            <w:noWrap/>
          </w:tcPr>
          <w:p w14:paraId="2ADBD74B" w14:textId="77777777" w:rsidR="008423E4" w:rsidRPr="0022177D" w:rsidRDefault="00C3309B" w:rsidP="007D368D">
            <w:pPr>
              <w:pStyle w:val="Heading1"/>
            </w:pPr>
            <w:bookmarkStart w:id="0" w:name="_GoBack"/>
            <w:bookmarkEnd w:id="0"/>
            <w:r w:rsidRPr="00631897">
              <w:t>BILL ANALYSIS</w:t>
            </w:r>
          </w:p>
        </w:tc>
      </w:tr>
    </w:tbl>
    <w:p w14:paraId="602D2EB8" w14:textId="77777777" w:rsidR="008423E4" w:rsidRPr="0022177D" w:rsidRDefault="008423E4" w:rsidP="007D368D">
      <w:pPr>
        <w:jc w:val="center"/>
      </w:pPr>
    </w:p>
    <w:p w14:paraId="4066332B" w14:textId="77777777" w:rsidR="008423E4" w:rsidRPr="00B31F0E" w:rsidRDefault="008423E4" w:rsidP="007D368D"/>
    <w:p w14:paraId="2BC5C8CC" w14:textId="77777777" w:rsidR="008423E4" w:rsidRPr="00742794" w:rsidRDefault="008423E4" w:rsidP="007D368D">
      <w:pPr>
        <w:tabs>
          <w:tab w:val="right" w:pos="9360"/>
        </w:tabs>
      </w:pPr>
    </w:p>
    <w:tbl>
      <w:tblPr>
        <w:tblW w:w="0" w:type="auto"/>
        <w:tblLayout w:type="fixed"/>
        <w:tblLook w:val="01E0" w:firstRow="1" w:lastRow="1" w:firstColumn="1" w:lastColumn="1" w:noHBand="0" w:noVBand="0"/>
      </w:tblPr>
      <w:tblGrid>
        <w:gridCol w:w="9576"/>
      </w:tblGrid>
      <w:tr w:rsidR="00924EEC" w14:paraId="03168DA1" w14:textId="77777777" w:rsidTr="00345119">
        <w:tc>
          <w:tcPr>
            <w:tcW w:w="9576" w:type="dxa"/>
          </w:tcPr>
          <w:p w14:paraId="5DB4FB38" w14:textId="55E7F329" w:rsidR="008423E4" w:rsidRPr="00861995" w:rsidRDefault="00C3309B" w:rsidP="007D368D">
            <w:pPr>
              <w:jc w:val="right"/>
            </w:pPr>
            <w:r>
              <w:t>H.B. 2059</w:t>
            </w:r>
          </w:p>
        </w:tc>
      </w:tr>
      <w:tr w:rsidR="00924EEC" w14:paraId="37361470" w14:textId="77777777" w:rsidTr="00345119">
        <w:tc>
          <w:tcPr>
            <w:tcW w:w="9576" w:type="dxa"/>
          </w:tcPr>
          <w:p w14:paraId="13441DC0" w14:textId="2095C215" w:rsidR="008423E4" w:rsidRPr="00861995" w:rsidRDefault="00C3309B" w:rsidP="007D368D">
            <w:pPr>
              <w:jc w:val="right"/>
            </w:pPr>
            <w:r>
              <w:t xml:space="preserve">By: </w:t>
            </w:r>
            <w:r w:rsidR="007F2BAC">
              <w:t>Bucy</w:t>
            </w:r>
          </w:p>
        </w:tc>
      </w:tr>
      <w:tr w:rsidR="00924EEC" w14:paraId="0A701A25" w14:textId="77777777" w:rsidTr="00345119">
        <w:tc>
          <w:tcPr>
            <w:tcW w:w="9576" w:type="dxa"/>
          </w:tcPr>
          <w:p w14:paraId="30BAD452" w14:textId="1026A93D" w:rsidR="008423E4" w:rsidRPr="00861995" w:rsidRDefault="00C3309B" w:rsidP="007D368D">
            <w:pPr>
              <w:jc w:val="right"/>
            </w:pPr>
            <w:r>
              <w:t>Elections</w:t>
            </w:r>
          </w:p>
        </w:tc>
      </w:tr>
      <w:tr w:rsidR="00924EEC" w14:paraId="01C212F8" w14:textId="77777777" w:rsidTr="00345119">
        <w:tc>
          <w:tcPr>
            <w:tcW w:w="9576" w:type="dxa"/>
          </w:tcPr>
          <w:p w14:paraId="09A7B471" w14:textId="2EBEB9C9" w:rsidR="008423E4" w:rsidRDefault="00C3309B" w:rsidP="007D368D">
            <w:pPr>
              <w:jc w:val="right"/>
            </w:pPr>
            <w:r>
              <w:t>Committee Report (Unamended)</w:t>
            </w:r>
          </w:p>
        </w:tc>
      </w:tr>
    </w:tbl>
    <w:p w14:paraId="0D5E6540" w14:textId="77777777" w:rsidR="008423E4" w:rsidRDefault="008423E4" w:rsidP="007D368D">
      <w:pPr>
        <w:tabs>
          <w:tab w:val="right" w:pos="9360"/>
        </w:tabs>
      </w:pPr>
    </w:p>
    <w:p w14:paraId="795F01B8" w14:textId="77777777" w:rsidR="008423E4" w:rsidRDefault="008423E4" w:rsidP="007D368D"/>
    <w:p w14:paraId="4CD1ECE6" w14:textId="77777777" w:rsidR="008423E4" w:rsidRDefault="008423E4" w:rsidP="007D368D"/>
    <w:tbl>
      <w:tblPr>
        <w:tblW w:w="0" w:type="auto"/>
        <w:tblCellMar>
          <w:left w:w="115" w:type="dxa"/>
          <w:right w:w="115" w:type="dxa"/>
        </w:tblCellMar>
        <w:tblLook w:val="01E0" w:firstRow="1" w:lastRow="1" w:firstColumn="1" w:lastColumn="1" w:noHBand="0" w:noVBand="0"/>
      </w:tblPr>
      <w:tblGrid>
        <w:gridCol w:w="9360"/>
      </w:tblGrid>
      <w:tr w:rsidR="00924EEC" w14:paraId="0201DD6B" w14:textId="77777777" w:rsidTr="00345119">
        <w:tc>
          <w:tcPr>
            <w:tcW w:w="9576" w:type="dxa"/>
          </w:tcPr>
          <w:p w14:paraId="2C7A138A" w14:textId="77777777" w:rsidR="008423E4" w:rsidRPr="00A8133F" w:rsidRDefault="00C3309B" w:rsidP="007D368D">
            <w:pPr>
              <w:rPr>
                <w:b/>
              </w:rPr>
            </w:pPr>
            <w:r w:rsidRPr="009C1E9A">
              <w:rPr>
                <w:b/>
                <w:u w:val="single"/>
              </w:rPr>
              <w:t>BACKGROUND AND PURPOSE</w:t>
            </w:r>
            <w:r>
              <w:rPr>
                <w:b/>
              </w:rPr>
              <w:t xml:space="preserve"> </w:t>
            </w:r>
          </w:p>
          <w:p w14:paraId="624C62C2" w14:textId="77777777" w:rsidR="008423E4" w:rsidRDefault="008423E4" w:rsidP="007D368D"/>
          <w:p w14:paraId="5E604F76" w14:textId="77777777" w:rsidR="008423E4" w:rsidRDefault="00C3309B" w:rsidP="007D368D">
            <w:pPr>
              <w:pStyle w:val="Header"/>
              <w:tabs>
                <w:tab w:val="clear" w:pos="4320"/>
                <w:tab w:val="clear" w:pos="8640"/>
              </w:tabs>
              <w:jc w:val="both"/>
            </w:pPr>
            <w:r>
              <w:t xml:space="preserve">Local elections held on </w:t>
            </w:r>
            <w:r w:rsidR="004D699D">
              <w:t xml:space="preserve">the </w:t>
            </w:r>
            <w:r w:rsidR="007162CB">
              <w:t xml:space="preserve">uniform </w:t>
            </w:r>
            <w:r>
              <w:t>election date in May or November often result in runoff elections</w:t>
            </w:r>
            <w:r w:rsidR="00B30DA0">
              <w:t xml:space="preserve">, which </w:t>
            </w:r>
            <w:r w:rsidR="004D699D">
              <w:t xml:space="preserve">then </w:t>
            </w:r>
            <w:r w:rsidR="00B30DA0">
              <w:t>must</w:t>
            </w:r>
            <w:r>
              <w:t xml:space="preserve"> be held </w:t>
            </w:r>
            <w:r w:rsidR="00B30DA0">
              <w:t>over the course of a few weeks following the date the final canvass of the main election is completed</w:t>
            </w:r>
            <w:r>
              <w:t xml:space="preserve">. This often results in </w:t>
            </w:r>
            <w:r w:rsidR="00B30DA0">
              <w:t xml:space="preserve">varying </w:t>
            </w:r>
            <w:r>
              <w:t xml:space="preserve">dates of </w:t>
            </w:r>
            <w:r w:rsidR="00B30DA0">
              <w:t xml:space="preserve">multiple </w:t>
            </w:r>
            <w:r>
              <w:t xml:space="preserve">runoff elections in the same geographic area, which in turn </w:t>
            </w:r>
            <w:r w:rsidR="007162CB">
              <w:t>confuses</w:t>
            </w:r>
            <w:r>
              <w:t xml:space="preserve"> voters in jurisdictions with simultaneous runoff electio</w:t>
            </w:r>
            <w:r>
              <w:t>ns held on different dates</w:t>
            </w:r>
            <w:r w:rsidR="00B30DA0">
              <w:t xml:space="preserve"> and</w:t>
            </w:r>
            <w:r>
              <w:t xml:space="preserve"> may cause considerable logistical issues.</w:t>
            </w:r>
            <w:r w:rsidR="00B30DA0">
              <w:t xml:space="preserve"> </w:t>
            </w:r>
            <w:r>
              <w:t xml:space="preserve">H.B. 2059 </w:t>
            </w:r>
            <w:r w:rsidR="00B30DA0">
              <w:t>seeks to</w:t>
            </w:r>
            <w:r>
              <w:t xml:space="preserve"> address this issue by standardizing the date of runoff elections for May and November general elections. </w:t>
            </w:r>
          </w:p>
          <w:p w14:paraId="63B71733" w14:textId="42BCC1B7" w:rsidR="00FB4FAE" w:rsidRPr="00E26B13" w:rsidRDefault="00FB4FAE" w:rsidP="007D368D">
            <w:pPr>
              <w:pStyle w:val="Header"/>
              <w:tabs>
                <w:tab w:val="clear" w:pos="4320"/>
                <w:tab w:val="clear" w:pos="8640"/>
              </w:tabs>
              <w:jc w:val="both"/>
              <w:rPr>
                <w:b/>
              </w:rPr>
            </w:pPr>
          </w:p>
        </w:tc>
      </w:tr>
      <w:tr w:rsidR="00924EEC" w14:paraId="349A5269" w14:textId="77777777" w:rsidTr="00345119">
        <w:tc>
          <w:tcPr>
            <w:tcW w:w="9576" w:type="dxa"/>
          </w:tcPr>
          <w:p w14:paraId="1C97F5D7" w14:textId="77777777" w:rsidR="0017725B" w:rsidRDefault="00C3309B" w:rsidP="007D368D">
            <w:pPr>
              <w:rPr>
                <w:b/>
                <w:u w:val="single"/>
              </w:rPr>
            </w:pPr>
            <w:r>
              <w:rPr>
                <w:b/>
                <w:u w:val="single"/>
              </w:rPr>
              <w:t>CRIMINAL JUSTICE IMPACT</w:t>
            </w:r>
          </w:p>
          <w:p w14:paraId="0CBEF3C8" w14:textId="77777777" w:rsidR="0017725B" w:rsidRDefault="0017725B" w:rsidP="007D368D">
            <w:pPr>
              <w:rPr>
                <w:b/>
                <w:u w:val="single"/>
              </w:rPr>
            </w:pPr>
          </w:p>
          <w:p w14:paraId="149AEC64" w14:textId="77777777" w:rsidR="00C123C0" w:rsidRPr="00C123C0" w:rsidRDefault="00C3309B" w:rsidP="007D368D">
            <w:pPr>
              <w:jc w:val="both"/>
            </w:pPr>
            <w:r>
              <w:t>It is the committee's opinion t</w:t>
            </w:r>
            <w:r>
              <w:t>hat this bill does not expressly create a criminal offense, increase the punishment for an existing criminal offense or category of offenses, or change the eligibility of a person for community supervision, parole, or mandatory supervision.</w:t>
            </w:r>
          </w:p>
          <w:p w14:paraId="166B7CAA" w14:textId="77777777" w:rsidR="0017725B" w:rsidRPr="0017725B" w:rsidRDefault="0017725B" w:rsidP="007D368D">
            <w:pPr>
              <w:rPr>
                <w:b/>
                <w:u w:val="single"/>
              </w:rPr>
            </w:pPr>
          </w:p>
        </w:tc>
      </w:tr>
      <w:tr w:rsidR="00924EEC" w14:paraId="7B2AD21D" w14:textId="77777777" w:rsidTr="00345119">
        <w:tc>
          <w:tcPr>
            <w:tcW w:w="9576" w:type="dxa"/>
          </w:tcPr>
          <w:p w14:paraId="1F585904" w14:textId="77777777" w:rsidR="008423E4" w:rsidRPr="00A8133F" w:rsidRDefault="00C3309B" w:rsidP="007D368D">
            <w:pPr>
              <w:rPr>
                <w:b/>
              </w:rPr>
            </w:pPr>
            <w:r w:rsidRPr="009C1E9A">
              <w:rPr>
                <w:b/>
                <w:u w:val="single"/>
              </w:rPr>
              <w:t>RULEMAKING AU</w:t>
            </w:r>
            <w:r w:rsidRPr="009C1E9A">
              <w:rPr>
                <w:b/>
                <w:u w:val="single"/>
              </w:rPr>
              <w:t>THORITY</w:t>
            </w:r>
            <w:r>
              <w:rPr>
                <w:b/>
              </w:rPr>
              <w:t xml:space="preserve"> </w:t>
            </w:r>
          </w:p>
          <w:p w14:paraId="1B5BC440" w14:textId="77777777" w:rsidR="008423E4" w:rsidRDefault="008423E4" w:rsidP="007D368D"/>
          <w:p w14:paraId="2A847DE7" w14:textId="77777777" w:rsidR="00C123C0" w:rsidRDefault="00C3309B" w:rsidP="007D368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7DED8AA" w14:textId="77777777" w:rsidR="008423E4" w:rsidRPr="00E21FDC" w:rsidRDefault="008423E4" w:rsidP="007D368D">
            <w:pPr>
              <w:rPr>
                <w:b/>
              </w:rPr>
            </w:pPr>
          </w:p>
        </w:tc>
      </w:tr>
      <w:tr w:rsidR="00924EEC" w14:paraId="29966872" w14:textId="77777777" w:rsidTr="00345119">
        <w:tc>
          <w:tcPr>
            <w:tcW w:w="9576" w:type="dxa"/>
          </w:tcPr>
          <w:p w14:paraId="34CB9301" w14:textId="77777777" w:rsidR="008423E4" w:rsidRPr="00A8133F" w:rsidRDefault="00C3309B" w:rsidP="007D368D">
            <w:pPr>
              <w:rPr>
                <w:b/>
              </w:rPr>
            </w:pPr>
            <w:r w:rsidRPr="009C1E9A">
              <w:rPr>
                <w:b/>
                <w:u w:val="single"/>
              </w:rPr>
              <w:t>ANALYSIS</w:t>
            </w:r>
            <w:r>
              <w:rPr>
                <w:b/>
              </w:rPr>
              <w:t xml:space="preserve"> </w:t>
            </w:r>
          </w:p>
          <w:p w14:paraId="00D35992" w14:textId="77777777" w:rsidR="008423E4" w:rsidRDefault="008423E4" w:rsidP="007D368D"/>
          <w:p w14:paraId="471FDF1A" w14:textId="2F6D1C9B" w:rsidR="009C36CD" w:rsidRDefault="00C3309B" w:rsidP="007D368D">
            <w:pPr>
              <w:pStyle w:val="Header"/>
              <w:tabs>
                <w:tab w:val="clear" w:pos="4320"/>
                <w:tab w:val="clear" w:pos="8640"/>
              </w:tabs>
              <w:jc w:val="both"/>
            </w:pPr>
            <w:r>
              <w:t xml:space="preserve">H.B. 2059 amends the Election Code to change the date </w:t>
            </w:r>
            <w:r w:rsidR="004D699D">
              <w:t xml:space="preserve">of </w:t>
            </w:r>
            <w:r w:rsidR="006153F9">
              <w:t>runoff election</w:t>
            </w:r>
            <w:r w:rsidR="004D699D">
              <w:t>s</w:t>
            </w:r>
            <w:r w:rsidR="006153F9">
              <w:t xml:space="preserve"> </w:t>
            </w:r>
            <w:r>
              <w:t>from not earlier than the 20th or later than the 45th day after the date the final canvass of the main election is completed to the first Saturday after the 27th day after the date of the main election. The bill repeals the authorization for a ho</w:t>
            </w:r>
            <w:r>
              <w:t>me-rule city charter to prescribe a later runoff election date.</w:t>
            </w:r>
          </w:p>
          <w:p w14:paraId="2CBEB09B" w14:textId="77777777" w:rsidR="00C123C0" w:rsidRDefault="00C123C0" w:rsidP="007D368D">
            <w:pPr>
              <w:pStyle w:val="Header"/>
              <w:tabs>
                <w:tab w:val="clear" w:pos="4320"/>
                <w:tab w:val="clear" w:pos="8640"/>
              </w:tabs>
              <w:jc w:val="both"/>
            </w:pPr>
          </w:p>
          <w:p w14:paraId="2A89E62E" w14:textId="77777777" w:rsidR="00C123C0" w:rsidRPr="009C36CD" w:rsidRDefault="00C3309B" w:rsidP="007D368D">
            <w:pPr>
              <w:pStyle w:val="Header"/>
              <w:tabs>
                <w:tab w:val="clear" w:pos="4320"/>
                <w:tab w:val="clear" w:pos="8640"/>
              </w:tabs>
              <w:jc w:val="both"/>
            </w:pPr>
            <w:r>
              <w:t>H.B. 2059 repeals Section 2.025(b), Election Code.</w:t>
            </w:r>
          </w:p>
          <w:p w14:paraId="07502B36" w14:textId="77777777" w:rsidR="008423E4" w:rsidRPr="00835628" w:rsidRDefault="008423E4" w:rsidP="007D368D">
            <w:pPr>
              <w:rPr>
                <w:b/>
              </w:rPr>
            </w:pPr>
          </w:p>
        </w:tc>
      </w:tr>
      <w:tr w:rsidR="00924EEC" w14:paraId="4F0C0D5B" w14:textId="77777777" w:rsidTr="00345119">
        <w:tc>
          <w:tcPr>
            <w:tcW w:w="9576" w:type="dxa"/>
          </w:tcPr>
          <w:p w14:paraId="0A31AF3D" w14:textId="77777777" w:rsidR="008423E4" w:rsidRPr="00A8133F" w:rsidRDefault="00C3309B" w:rsidP="007D368D">
            <w:pPr>
              <w:rPr>
                <w:b/>
              </w:rPr>
            </w:pPr>
            <w:r w:rsidRPr="009C1E9A">
              <w:rPr>
                <w:b/>
                <w:u w:val="single"/>
              </w:rPr>
              <w:t>EFFECTIVE DATE</w:t>
            </w:r>
            <w:r>
              <w:rPr>
                <w:b/>
              </w:rPr>
              <w:t xml:space="preserve"> </w:t>
            </w:r>
          </w:p>
          <w:p w14:paraId="2F1C7820" w14:textId="77777777" w:rsidR="008423E4" w:rsidRDefault="008423E4" w:rsidP="007D368D"/>
          <w:p w14:paraId="7239299B" w14:textId="77777777" w:rsidR="008423E4" w:rsidRPr="003624F2" w:rsidRDefault="00C3309B" w:rsidP="007D368D">
            <w:pPr>
              <w:pStyle w:val="Header"/>
              <w:tabs>
                <w:tab w:val="clear" w:pos="4320"/>
                <w:tab w:val="clear" w:pos="8640"/>
              </w:tabs>
              <w:jc w:val="both"/>
            </w:pPr>
            <w:r>
              <w:t>September 1, 2021.</w:t>
            </w:r>
          </w:p>
          <w:p w14:paraId="15FE122D" w14:textId="77777777" w:rsidR="008423E4" w:rsidRPr="00233FDB" w:rsidRDefault="008423E4" w:rsidP="007D368D">
            <w:pPr>
              <w:rPr>
                <w:b/>
              </w:rPr>
            </w:pPr>
          </w:p>
        </w:tc>
      </w:tr>
    </w:tbl>
    <w:p w14:paraId="1C694110" w14:textId="77777777" w:rsidR="008423E4" w:rsidRPr="00BE0E75" w:rsidRDefault="008423E4" w:rsidP="007D368D">
      <w:pPr>
        <w:jc w:val="both"/>
        <w:rPr>
          <w:rFonts w:ascii="Arial" w:hAnsi="Arial"/>
          <w:sz w:val="16"/>
          <w:szCs w:val="16"/>
        </w:rPr>
      </w:pPr>
    </w:p>
    <w:p w14:paraId="0CF1D6F6" w14:textId="77777777" w:rsidR="004108C3" w:rsidRPr="008423E4" w:rsidRDefault="004108C3" w:rsidP="007D368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1BD6" w14:textId="77777777" w:rsidR="00000000" w:rsidRDefault="00C3309B">
      <w:r>
        <w:separator/>
      </w:r>
    </w:p>
  </w:endnote>
  <w:endnote w:type="continuationSeparator" w:id="0">
    <w:p w14:paraId="0DE3B12D" w14:textId="77777777" w:rsidR="00000000" w:rsidRDefault="00C3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A19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24EEC" w14:paraId="11E7416F" w14:textId="77777777" w:rsidTr="009C1E9A">
      <w:trPr>
        <w:cantSplit/>
      </w:trPr>
      <w:tc>
        <w:tcPr>
          <w:tcW w:w="0" w:type="pct"/>
        </w:tcPr>
        <w:p w14:paraId="0D3E0A7B" w14:textId="77777777" w:rsidR="00137D90" w:rsidRDefault="00137D90" w:rsidP="009C1E9A">
          <w:pPr>
            <w:pStyle w:val="Footer"/>
            <w:tabs>
              <w:tab w:val="clear" w:pos="8640"/>
              <w:tab w:val="right" w:pos="9360"/>
            </w:tabs>
          </w:pPr>
        </w:p>
      </w:tc>
      <w:tc>
        <w:tcPr>
          <w:tcW w:w="2395" w:type="pct"/>
        </w:tcPr>
        <w:p w14:paraId="2024D851" w14:textId="77777777" w:rsidR="00137D90" w:rsidRDefault="00137D90" w:rsidP="009C1E9A">
          <w:pPr>
            <w:pStyle w:val="Footer"/>
            <w:tabs>
              <w:tab w:val="clear" w:pos="8640"/>
              <w:tab w:val="right" w:pos="9360"/>
            </w:tabs>
          </w:pPr>
        </w:p>
        <w:p w14:paraId="408B67C7" w14:textId="77777777" w:rsidR="001A4310" w:rsidRDefault="001A4310" w:rsidP="009C1E9A">
          <w:pPr>
            <w:pStyle w:val="Footer"/>
            <w:tabs>
              <w:tab w:val="clear" w:pos="8640"/>
              <w:tab w:val="right" w:pos="9360"/>
            </w:tabs>
          </w:pPr>
        </w:p>
        <w:p w14:paraId="3F191AA7" w14:textId="77777777" w:rsidR="00137D90" w:rsidRDefault="00137D90" w:rsidP="009C1E9A">
          <w:pPr>
            <w:pStyle w:val="Footer"/>
            <w:tabs>
              <w:tab w:val="clear" w:pos="8640"/>
              <w:tab w:val="right" w:pos="9360"/>
            </w:tabs>
          </w:pPr>
        </w:p>
      </w:tc>
      <w:tc>
        <w:tcPr>
          <w:tcW w:w="2453" w:type="pct"/>
        </w:tcPr>
        <w:p w14:paraId="41205EF2" w14:textId="77777777" w:rsidR="00137D90" w:rsidRDefault="00137D90" w:rsidP="009C1E9A">
          <w:pPr>
            <w:pStyle w:val="Footer"/>
            <w:tabs>
              <w:tab w:val="clear" w:pos="8640"/>
              <w:tab w:val="right" w:pos="9360"/>
            </w:tabs>
            <w:jc w:val="right"/>
          </w:pPr>
        </w:p>
      </w:tc>
    </w:tr>
    <w:tr w:rsidR="00924EEC" w14:paraId="6D90F190" w14:textId="77777777" w:rsidTr="009C1E9A">
      <w:trPr>
        <w:cantSplit/>
      </w:trPr>
      <w:tc>
        <w:tcPr>
          <w:tcW w:w="0" w:type="pct"/>
        </w:tcPr>
        <w:p w14:paraId="6FC5F8CB" w14:textId="77777777" w:rsidR="00EC379B" w:rsidRDefault="00EC379B" w:rsidP="009C1E9A">
          <w:pPr>
            <w:pStyle w:val="Footer"/>
            <w:tabs>
              <w:tab w:val="clear" w:pos="8640"/>
              <w:tab w:val="right" w:pos="9360"/>
            </w:tabs>
          </w:pPr>
        </w:p>
      </w:tc>
      <w:tc>
        <w:tcPr>
          <w:tcW w:w="2395" w:type="pct"/>
        </w:tcPr>
        <w:p w14:paraId="18E669CD" w14:textId="2DC4FEB6" w:rsidR="00EC379B" w:rsidRPr="009C1E9A" w:rsidRDefault="00C3309B" w:rsidP="009C1E9A">
          <w:pPr>
            <w:pStyle w:val="Footer"/>
            <w:tabs>
              <w:tab w:val="clear" w:pos="8640"/>
              <w:tab w:val="right" w:pos="9360"/>
            </w:tabs>
            <w:rPr>
              <w:rFonts w:ascii="Shruti" w:hAnsi="Shruti"/>
              <w:sz w:val="22"/>
            </w:rPr>
          </w:pPr>
          <w:r>
            <w:rPr>
              <w:rFonts w:ascii="Shruti" w:hAnsi="Shruti"/>
              <w:sz w:val="22"/>
            </w:rPr>
            <w:t>87R 22028</w:t>
          </w:r>
        </w:p>
      </w:tc>
      <w:tc>
        <w:tcPr>
          <w:tcW w:w="2453" w:type="pct"/>
        </w:tcPr>
        <w:p w14:paraId="5A75A03C" w14:textId="2DA12E0B" w:rsidR="00EC379B" w:rsidRDefault="00C3309B" w:rsidP="009C1E9A">
          <w:pPr>
            <w:pStyle w:val="Footer"/>
            <w:tabs>
              <w:tab w:val="clear" w:pos="8640"/>
              <w:tab w:val="right" w:pos="9360"/>
            </w:tabs>
            <w:jc w:val="right"/>
          </w:pPr>
          <w:r>
            <w:fldChar w:fldCharType="begin"/>
          </w:r>
          <w:r>
            <w:instrText xml:space="preserve"> DOCPROPERTY  OTID  \* MERGEFORMAT </w:instrText>
          </w:r>
          <w:r>
            <w:fldChar w:fldCharType="separate"/>
          </w:r>
          <w:r w:rsidR="00A50BB5">
            <w:t>21.115.394</w:t>
          </w:r>
          <w:r>
            <w:fldChar w:fldCharType="end"/>
          </w:r>
        </w:p>
      </w:tc>
    </w:tr>
    <w:tr w:rsidR="00924EEC" w14:paraId="7F715985" w14:textId="77777777" w:rsidTr="009C1E9A">
      <w:trPr>
        <w:cantSplit/>
      </w:trPr>
      <w:tc>
        <w:tcPr>
          <w:tcW w:w="0" w:type="pct"/>
        </w:tcPr>
        <w:p w14:paraId="6C90245C" w14:textId="77777777" w:rsidR="00EC379B" w:rsidRDefault="00EC379B" w:rsidP="009C1E9A">
          <w:pPr>
            <w:pStyle w:val="Footer"/>
            <w:tabs>
              <w:tab w:val="clear" w:pos="4320"/>
              <w:tab w:val="clear" w:pos="8640"/>
              <w:tab w:val="left" w:pos="2865"/>
            </w:tabs>
          </w:pPr>
        </w:p>
      </w:tc>
      <w:tc>
        <w:tcPr>
          <w:tcW w:w="2395" w:type="pct"/>
        </w:tcPr>
        <w:p w14:paraId="70CFD1C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FAFE94D" w14:textId="77777777" w:rsidR="00EC379B" w:rsidRDefault="00EC379B" w:rsidP="006D504F">
          <w:pPr>
            <w:pStyle w:val="Footer"/>
            <w:rPr>
              <w:rStyle w:val="PageNumber"/>
            </w:rPr>
          </w:pPr>
        </w:p>
        <w:p w14:paraId="4A9634B8" w14:textId="77777777" w:rsidR="00EC379B" w:rsidRDefault="00EC379B" w:rsidP="009C1E9A">
          <w:pPr>
            <w:pStyle w:val="Footer"/>
            <w:tabs>
              <w:tab w:val="clear" w:pos="8640"/>
              <w:tab w:val="right" w:pos="9360"/>
            </w:tabs>
            <w:jc w:val="right"/>
          </w:pPr>
        </w:p>
      </w:tc>
    </w:tr>
    <w:tr w:rsidR="00924EEC" w14:paraId="13D67EF3" w14:textId="77777777" w:rsidTr="009C1E9A">
      <w:trPr>
        <w:cantSplit/>
        <w:trHeight w:val="323"/>
      </w:trPr>
      <w:tc>
        <w:tcPr>
          <w:tcW w:w="0" w:type="pct"/>
          <w:gridSpan w:val="3"/>
        </w:tcPr>
        <w:p w14:paraId="3A844BFC" w14:textId="23A26DAA" w:rsidR="00EC379B" w:rsidRDefault="00C330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D368D">
            <w:rPr>
              <w:rStyle w:val="PageNumber"/>
              <w:noProof/>
            </w:rPr>
            <w:t>1</w:t>
          </w:r>
          <w:r>
            <w:rPr>
              <w:rStyle w:val="PageNumber"/>
            </w:rPr>
            <w:fldChar w:fldCharType="end"/>
          </w:r>
        </w:p>
        <w:p w14:paraId="0063E861" w14:textId="77777777" w:rsidR="00EC379B" w:rsidRDefault="00EC379B" w:rsidP="009C1E9A">
          <w:pPr>
            <w:pStyle w:val="Footer"/>
            <w:tabs>
              <w:tab w:val="clear" w:pos="8640"/>
              <w:tab w:val="right" w:pos="9360"/>
            </w:tabs>
            <w:jc w:val="center"/>
          </w:pPr>
        </w:p>
      </w:tc>
    </w:tr>
  </w:tbl>
  <w:p w14:paraId="26D0DC1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C3F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EC6B1" w14:textId="77777777" w:rsidR="00000000" w:rsidRDefault="00C3309B">
      <w:r>
        <w:separator/>
      </w:r>
    </w:p>
  </w:footnote>
  <w:footnote w:type="continuationSeparator" w:id="0">
    <w:p w14:paraId="7C254C62" w14:textId="77777777" w:rsidR="00000000" w:rsidRDefault="00C3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648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D91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DAC8"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C0"/>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2D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47CB"/>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699D"/>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345"/>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53F9"/>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62CB"/>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368D"/>
    <w:rsid w:val="007D47E1"/>
    <w:rsid w:val="007D7FCB"/>
    <w:rsid w:val="007E33B6"/>
    <w:rsid w:val="007E59E8"/>
    <w:rsid w:val="007F2BAC"/>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4EEC"/>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B03"/>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BB5"/>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0DA0"/>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3C0"/>
    <w:rsid w:val="00C14EE6"/>
    <w:rsid w:val="00C151DA"/>
    <w:rsid w:val="00C152A1"/>
    <w:rsid w:val="00C16CCB"/>
    <w:rsid w:val="00C2142B"/>
    <w:rsid w:val="00C22987"/>
    <w:rsid w:val="00C23956"/>
    <w:rsid w:val="00C248E6"/>
    <w:rsid w:val="00C2766F"/>
    <w:rsid w:val="00C3223B"/>
    <w:rsid w:val="00C3309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3A40"/>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4FAE"/>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B10114-4850-41B0-BB8F-F033C92C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123C0"/>
    <w:rPr>
      <w:sz w:val="16"/>
      <w:szCs w:val="16"/>
    </w:rPr>
  </w:style>
  <w:style w:type="paragraph" w:styleId="CommentText">
    <w:name w:val="annotation text"/>
    <w:basedOn w:val="Normal"/>
    <w:link w:val="CommentTextChar"/>
    <w:semiHidden/>
    <w:unhideWhenUsed/>
    <w:rsid w:val="00C123C0"/>
    <w:rPr>
      <w:sz w:val="20"/>
      <w:szCs w:val="20"/>
    </w:rPr>
  </w:style>
  <w:style w:type="character" w:customStyle="1" w:styleId="CommentTextChar">
    <w:name w:val="Comment Text Char"/>
    <w:basedOn w:val="DefaultParagraphFont"/>
    <w:link w:val="CommentText"/>
    <w:semiHidden/>
    <w:rsid w:val="00C123C0"/>
  </w:style>
  <w:style w:type="paragraph" w:styleId="CommentSubject">
    <w:name w:val="annotation subject"/>
    <w:basedOn w:val="CommentText"/>
    <w:next w:val="CommentText"/>
    <w:link w:val="CommentSubjectChar"/>
    <w:semiHidden/>
    <w:unhideWhenUsed/>
    <w:rsid w:val="00C123C0"/>
    <w:rPr>
      <w:b/>
      <w:bCs/>
    </w:rPr>
  </w:style>
  <w:style w:type="character" w:customStyle="1" w:styleId="CommentSubjectChar">
    <w:name w:val="Comment Subject Char"/>
    <w:basedOn w:val="CommentTextChar"/>
    <w:link w:val="CommentSubject"/>
    <w:semiHidden/>
    <w:rsid w:val="00C12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1390</Characters>
  <Application>Microsoft Office Word</Application>
  <DocSecurity>4</DocSecurity>
  <Lines>46</Lines>
  <Paragraphs>16</Paragraphs>
  <ScaleCrop>false</ScaleCrop>
  <HeadingPairs>
    <vt:vector size="2" baseType="variant">
      <vt:variant>
        <vt:lpstr>Title</vt:lpstr>
      </vt:variant>
      <vt:variant>
        <vt:i4>1</vt:i4>
      </vt:variant>
    </vt:vector>
  </HeadingPairs>
  <TitlesOfParts>
    <vt:vector size="1" baseType="lpstr">
      <vt:lpstr>BA - HB02059 (Committee Report (Unamended))</vt:lpstr>
    </vt:vector>
  </TitlesOfParts>
  <Company>State of Texas</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22028</dc:subject>
  <dc:creator>State of Texas</dc:creator>
  <dc:description>HB 2059 by Bucy-(H)Elections</dc:description>
  <cp:lastModifiedBy>Lauren Bustamante</cp:lastModifiedBy>
  <cp:revision>2</cp:revision>
  <cp:lastPrinted>2003-11-26T17:21:00Z</cp:lastPrinted>
  <dcterms:created xsi:type="dcterms:W3CDTF">2021-04-28T00:48:00Z</dcterms:created>
  <dcterms:modified xsi:type="dcterms:W3CDTF">2021-04-28T00:48:00Z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21.115.394</vt:lpwstr>
  </property>
</Properties>
</file>