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9479E" w14:paraId="51318C22" w14:textId="77777777" w:rsidTr="00345119">
        <w:tc>
          <w:tcPr>
            <w:tcW w:w="9576" w:type="dxa"/>
            <w:noWrap/>
          </w:tcPr>
          <w:p w14:paraId="6AA4D94F" w14:textId="77777777" w:rsidR="008423E4" w:rsidRPr="0022177D" w:rsidRDefault="00B56E08" w:rsidP="00C97FA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4D9C56C" w14:textId="77777777" w:rsidR="008423E4" w:rsidRPr="0022177D" w:rsidRDefault="008423E4" w:rsidP="00C97FAB">
      <w:pPr>
        <w:jc w:val="center"/>
      </w:pPr>
    </w:p>
    <w:p w14:paraId="6177AE9A" w14:textId="77777777" w:rsidR="008423E4" w:rsidRPr="00B31F0E" w:rsidRDefault="008423E4" w:rsidP="00C97FAB"/>
    <w:p w14:paraId="47723937" w14:textId="77777777" w:rsidR="008423E4" w:rsidRPr="00742794" w:rsidRDefault="008423E4" w:rsidP="00C97FA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9479E" w14:paraId="057F576C" w14:textId="77777777" w:rsidTr="00345119">
        <w:tc>
          <w:tcPr>
            <w:tcW w:w="9576" w:type="dxa"/>
          </w:tcPr>
          <w:p w14:paraId="0409C2B5" w14:textId="493023F8" w:rsidR="008423E4" w:rsidRPr="00861995" w:rsidRDefault="00B56E08" w:rsidP="00C97FAB">
            <w:pPr>
              <w:jc w:val="right"/>
            </w:pPr>
            <w:r>
              <w:t>C.S.H.B. 2080</w:t>
            </w:r>
          </w:p>
        </w:tc>
      </w:tr>
      <w:tr w:rsidR="0089479E" w14:paraId="7E3A0053" w14:textId="77777777" w:rsidTr="00345119">
        <w:tc>
          <w:tcPr>
            <w:tcW w:w="9576" w:type="dxa"/>
          </w:tcPr>
          <w:p w14:paraId="01499085" w14:textId="10F1B58F" w:rsidR="008423E4" w:rsidRPr="00861995" w:rsidRDefault="00B56E08" w:rsidP="007016D9">
            <w:pPr>
              <w:jc w:val="right"/>
            </w:pPr>
            <w:r>
              <w:t xml:space="preserve">By: </w:t>
            </w:r>
            <w:r w:rsidR="007016D9">
              <w:t>Leman</w:t>
            </w:r>
          </w:p>
        </w:tc>
      </w:tr>
      <w:tr w:rsidR="0089479E" w14:paraId="27A78E97" w14:textId="77777777" w:rsidTr="00345119">
        <w:tc>
          <w:tcPr>
            <w:tcW w:w="9576" w:type="dxa"/>
          </w:tcPr>
          <w:p w14:paraId="122B7155" w14:textId="60077951" w:rsidR="008423E4" w:rsidRPr="00861995" w:rsidRDefault="00B56E08" w:rsidP="00C97FAB">
            <w:pPr>
              <w:jc w:val="right"/>
            </w:pPr>
            <w:r>
              <w:t>Ways &amp; Means</w:t>
            </w:r>
          </w:p>
        </w:tc>
      </w:tr>
      <w:tr w:rsidR="0089479E" w14:paraId="010A4B2E" w14:textId="77777777" w:rsidTr="00345119">
        <w:tc>
          <w:tcPr>
            <w:tcW w:w="9576" w:type="dxa"/>
          </w:tcPr>
          <w:p w14:paraId="6215FFFC" w14:textId="45035993" w:rsidR="008423E4" w:rsidRDefault="00B56E08" w:rsidP="00C97FAB">
            <w:pPr>
              <w:jc w:val="right"/>
            </w:pPr>
            <w:r>
              <w:t>Committee Report (Substituted)</w:t>
            </w:r>
          </w:p>
        </w:tc>
      </w:tr>
    </w:tbl>
    <w:p w14:paraId="02F2D505" w14:textId="77777777" w:rsidR="008423E4" w:rsidRDefault="008423E4" w:rsidP="00C97FAB">
      <w:pPr>
        <w:tabs>
          <w:tab w:val="right" w:pos="9360"/>
        </w:tabs>
      </w:pPr>
    </w:p>
    <w:p w14:paraId="38E2C1DD" w14:textId="77777777" w:rsidR="008423E4" w:rsidRDefault="008423E4" w:rsidP="00C97FAB"/>
    <w:p w14:paraId="6E33FE3B" w14:textId="77777777" w:rsidR="008423E4" w:rsidRDefault="008423E4" w:rsidP="00C97FA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9479E" w14:paraId="493C511D" w14:textId="77777777" w:rsidTr="00345119">
        <w:tc>
          <w:tcPr>
            <w:tcW w:w="9576" w:type="dxa"/>
          </w:tcPr>
          <w:p w14:paraId="5BACFED7" w14:textId="77777777" w:rsidR="008423E4" w:rsidRPr="00A8133F" w:rsidRDefault="00B56E08" w:rsidP="00C97FA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6B95D0B" w14:textId="77777777" w:rsidR="008423E4" w:rsidRDefault="008423E4" w:rsidP="00C97FAB"/>
          <w:p w14:paraId="098352BC" w14:textId="5DA5EE46" w:rsidR="008423E4" w:rsidRDefault="00B56E08" w:rsidP="00C97FAB">
            <w:pPr>
              <w:pStyle w:val="Header"/>
              <w:jc w:val="both"/>
            </w:pPr>
            <w:r>
              <w:t xml:space="preserve">There have been calls for the state to </w:t>
            </w:r>
            <w:r w:rsidR="002E0447">
              <w:t>ease the financial burden that accompanies the requirement for taxpayers filing suit in protest of their taxes</w:t>
            </w:r>
            <w:r w:rsidR="0001004B">
              <w:t xml:space="preserve"> to</w:t>
            </w:r>
            <w:r w:rsidR="002E0447">
              <w:t xml:space="preserve"> first pay the amount under protest.</w:t>
            </w:r>
            <w:r w:rsidR="0001004B">
              <w:t xml:space="preserve"> This </w:t>
            </w:r>
            <w:r w:rsidR="00B602E8">
              <w:t>pre</w:t>
            </w:r>
            <w:r w:rsidR="0001004B">
              <w:t xml:space="preserve">condition on such a filing </w:t>
            </w:r>
            <w:r w:rsidR="007E2644">
              <w:t xml:space="preserve">limits access to the </w:t>
            </w:r>
            <w:r w:rsidR="0043228D">
              <w:t>courts</w:t>
            </w:r>
            <w:r w:rsidR="007E2644">
              <w:t xml:space="preserve"> and </w:t>
            </w:r>
            <w:r w:rsidR="0001004B">
              <w:t xml:space="preserve">is </w:t>
            </w:r>
            <w:r w:rsidR="00B602E8">
              <w:t xml:space="preserve">particularly </w:t>
            </w:r>
            <w:r w:rsidR="0001004B">
              <w:t>challenging for Texans unable to pay that amount.</w:t>
            </w:r>
            <w:r w:rsidR="002E0447">
              <w:t xml:space="preserve"> </w:t>
            </w:r>
            <w:r w:rsidR="009C0E58">
              <w:t xml:space="preserve">C.S.H.B. 2080 </w:t>
            </w:r>
            <w:r>
              <w:t>seeks to ease the burden on taxpayers and ensure that all</w:t>
            </w:r>
            <w:r>
              <w:t xml:space="preserve"> Texans, regardless of means, are able to access the taxpayer suit processes by establishing a new type of taxpayer protest</w:t>
            </w:r>
            <w:r w:rsidR="0043228D">
              <w:t xml:space="preserve"> suit</w:t>
            </w:r>
            <w:r>
              <w:t xml:space="preserve"> that does not require prior payment of the amount in protest.</w:t>
            </w:r>
          </w:p>
          <w:p w14:paraId="258A6473" w14:textId="30D22933" w:rsidR="005E7208" w:rsidRPr="009C0E58" w:rsidRDefault="005E7208" w:rsidP="00C97FAB">
            <w:pPr>
              <w:pStyle w:val="Header"/>
              <w:jc w:val="both"/>
            </w:pPr>
          </w:p>
        </w:tc>
      </w:tr>
      <w:tr w:rsidR="0089479E" w14:paraId="74A12DBD" w14:textId="77777777" w:rsidTr="00345119">
        <w:tc>
          <w:tcPr>
            <w:tcW w:w="9576" w:type="dxa"/>
          </w:tcPr>
          <w:p w14:paraId="2A00AE5D" w14:textId="77777777" w:rsidR="0017725B" w:rsidRDefault="00B56E08" w:rsidP="00C97F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72DDDAE" w14:textId="77777777" w:rsidR="0017725B" w:rsidRDefault="0017725B" w:rsidP="00C97FAB">
            <w:pPr>
              <w:rPr>
                <w:b/>
                <w:u w:val="single"/>
              </w:rPr>
            </w:pPr>
          </w:p>
          <w:p w14:paraId="6E9F318A" w14:textId="77777777" w:rsidR="0017725B" w:rsidRDefault="00B56E08" w:rsidP="00C97FAB">
            <w:pPr>
              <w:jc w:val="both"/>
            </w:pPr>
            <w:r>
              <w:t>It is the committee's opinion that thi</w:t>
            </w:r>
            <w:r>
              <w:t>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1472011B" w14:textId="2A49DC8F" w:rsidR="00C97FAB" w:rsidRPr="009C0E58" w:rsidRDefault="00C97FAB" w:rsidP="00C97FAB">
            <w:pPr>
              <w:jc w:val="both"/>
            </w:pPr>
          </w:p>
        </w:tc>
      </w:tr>
      <w:tr w:rsidR="0089479E" w14:paraId="5245F5FD" w14:textId="77777777" w:rsidTr="00345119">
        <w:tc>
          <w:tcPr>
            <w:tcW w:w="9576" w:type="dxa"/>
          </w:tcPr>
          <w:p w14:paraId="6664B00E" w14:textId="6BDDE593" w:rsidR="008423E4" w:rsidRDefault="00B56E08" w:rsidP="00C97FA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</w:p>
          <w:p w14:paraId="3ABD2D71" w14:textId="77777777" w:rsidR="00C97FAB" w:rsidRPr="00A8133F" w:rsidRDefault="00C97FAB" w:rsidP="00C97FAB">
            <w:pPr>
              <w:rPr>
                <w:b/>
              </w:rPr>
            </w:pPr>
          </w:p>
          <w:p w14:paraId="2E21DF3A" w14:textId="77777777" w:rsidR="008423E4" w:rsidRDefault="00B56E08" w:rsidP="00C97F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688342A" w14:textId="1988BF5C" w:rsidR="00C97FAB" w:rsidRPr="009C0E58" w:rsidRDefault="00C97FAB" w:rsidP="00C97F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89479E" w14:paraId="7F606410" w14:textId="77777777" w:rsidTr="00345119">
        <w:tc>
          <w:tcPr>
            <w:tcW w:w="9576" w:type="dxa"/>
          </w:tcPr>
          <w:p w14:paraId="120CAC63" w14:textId="70D085AC" w:rsidR="008423E4" w:rsidRDefault="00B56E08" w:rsidP="00C97FA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AA508B4" w14:textId="77777777" w:rsidR="00C97FAB" w:rsidRPr="00CD3F25" w:rsidRDefault="00C97FAB" w:rsidP="00C97FAB">
            <w:pPr>
              <w:rPr>
                <w:b/>
              </w:rPr>
            </w:pPr>
          </w:p>
          <w:p w14:paraId="44792BCB" w14:textId="779C0BF9" w:rsidR="00E64012" w:rsidRDefault="00B56E08" w:rsidP="00C97FA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rPr>
                <w:b/>
              </w:rPr>
              <w:t>Tax Code Provisions</w:t>
            </w:r>
          </w:p>
          <w:p w14:paraId="38844505" w14:textId="77777777" w:rsidR="00E64012" w:rsidRPr="003F296D" w:rsidRDefault="00E64012" w:rsidP="00C97FA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  <w:p w14:paraId="2B757A87" w14:textId="3F9BF359" w:rsidR="00052264" w:rsidRDefault="00B56E08" w:rsidP="00C97F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</w:t>
            </w:r>
            <w:r w:rsidR="002A76A0">
              <w:t xml:space="preserve">2080 amends the Tax Code to </w:t>
            </w:r>
            <w:r>
              <w:t xml:space="preserve">set out and revise </w:t>
            </w:r>
            <w:r>
              <w:t>provisions relating to taxpayers</w:t>
            </w:r>
            <w:r w:rsidR="0001004B">
              <w:t>'</w:t>
            </w:r>
            <w:r>
              <w:t xml:space="preserve"> suits. </w:t>
            </w:r>
          </w:p>
          <w:p w14:paraId="00A1BC89" w14:textId="77777777" w:rsidR="00052264" w:rsidRDefault="00052264" w:rsidP="00C97F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81F8289" w14:textId="6DE731F1" w:rsidR="00052264" w:rsidRPr="003F296D" w:rsidRDefault="00B56E08" w:rsidP="00C97FA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u w:val="single"/>
              </w:rPr>
            </w:pPr>
            <w:r w:rsidRPr="003F296D">
              <w:rPr>
                <w:u w:val="single"/>
              </w:rPr>
              <w:t>Suit After Redetermination</w:t>
            </w:r>
          </w:p>
          <w:p w14:paraId="16B6E9D8" w14:textId="77777777" w:rsidR="00052264" w:rsidRDefault="00052264" w:rsidP="00C97F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11FA5FC" w14:textId="080E6CFA" w:rsidR="00151F05" w:rsidRDefault="00B56E08" w:rsidP="00C97F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2080 </w:t>
            </w:r>
            <w:r w:rsidR="00B602E8">
              <w:t>establishes procedures with respect to a</w:t>
            </w:r>
            <w:r w:rsidR="005A5BA8">
              <w:t xml:space="preserve"> taxpayer suit in which a </w:t>
            </w:r>
            <w:r w:rsidR="002A76A0">
              <w:t xml:space="preserve">person </w:t>
            </w:r>
            <w:r w:rsidR="005A5BA8">
              <w:t xml:space="preserve">may </w:t>
            </w:r>
            <w:r w:rsidR="0077439A">
              <w:t>su</w:t>
            </w:r>
            <w:r w:rsidR="005A5BA8">
              <w:t>e</w:t>
            </w:r>
            <w:r w:rsidR="0077439A">
              <w:t xml:space="preserve"> the comptroller</w:t>
            </w:r>
            <w:r w:rsidR="000E559E">
              <w:t xml:space="preserve"> of public accounts</w:t>
            </w:r>
            <w:r w:rsidR="0077439A">
              <w:t xml:space="preserve"> to dispute </w:t>
            </w:r>
            <w:r w:rsidR="0077439A" w:rsidRPr="0077439A">
              <w:t xml:space="preserve">an amount of tax, penalty, or interest </w:t>
            </w:r>
            <w:r w:rsidR="0077439A">
              <w:t>assessed</w:t>
            </w:r>
            <w:r w:rsidR="0077439A" w:rsidRPr="0077439A">
              <w:t xml:space="preserve"> in a deficiency determination or jeopardy determination</w:t>
            </w:r>
            <w:r w:rsidR="005A5BA8">
              <w:t xml:space="preserve"> if</w:t>
            </w:r>
            <w:r w:rsidR="0077439A">
              <w:t xml:space="preserve"> </w:t>
            </w:r>
            <w:r w:rsidR="005A5BA8">
              <w:t>the</w:t>
            </w:r>
            <w:r w:rsidR="0077439A">
              <w:t xml:space="preserve"> person </w:t>
            </w:r>
            <w:r w:rsidR="002B7649">
              <w:t xml:space="preserve">has </w:t>
            </w:r>
            <w:r w:rsidR="005A5BA8">
              <w:t xml:space="preserve">taken </w:t>
            </w:r>
            <w:r w:rsidR="002B7649">
              <w:t>the following</w:t>
            </w:r>
            <w:r w:rsidR="005A5BA8">
              <w:t xml:space="preserve"> actions</w:t>
            </w:r>
            <w:r w:rsidR="002B7649">
              <w:t>:</w:t>
            </w:r>
          </w:p>
          <w:p w14:paraId="35A1BC8E" w14:textId="39A24BB5" w:rsidR="002B7649" w:rsidRDefault="00B56E08" w:rsidP="00C97FAB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filed a request for redetermination; </w:t>
            </w:r>
          </w:p>
          <w:p w14:paraId="69BD8E34" w14:textId="0FE4DEA9" w:rsidR="002B7649" w:rsidRDefault="00B56E08" w:rsidP="00C97FA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obtained a redetermination that includes a finding by the comptroller of the disputed and undisputed amounts; a</w:t>
            </w:r>
            <w:r>
              <w:t>nd</w:t>
            </w:r>
          </w:p>
          <w:p w14:paraId="53871DB3" w14:textId="0BD8F94F" w:rsidR="00A105F5" w:rsidRDefault="00B56E08" w:rsidP="00C97FA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2B7649">
              <w:t>filed a motion for rehearing of the redetermination that complies with</w:t>
            </w:r>
            <w:r>
              <w:t xml:space="preserve"> </w:t>
            </w:r>
            <w:r w:rsidR="005A5BA8" w:rsidRPr="005A5BA8">
              <w:t>the Administrative Procedure Act</w:t>
            </w:r>
            <w:r w:rsidR="005A5BA8">
              <w:t xml:space="preserve"> </w:t>
            </w:r>
            <w:r w:rsidRPr="002B7649">
              <w:t xml:space="preserve">and states the specific grounds of error and the disputed amounts associated with </w:t>
            </w:r>
            <w:r>
              <w:t>those</w:t>
            </w:r>
            <w:r w:rsidRPr="002B7649">
              <w:t xml:space="preserve"> grounds of error.</w:t>
            </w:r>
          </w:p>
          <w:p w14:paraId="79DB0B90" w14:textId="3F94A782" w:rsidR="00D24764" w:rsidRDefault="00D24764" w:rsidP="00C97FAB">
            <w:pPr>
              <w:pStyle w:val="Header"/>
              <w:jc w:val="both"/>
            </w:pPr>
          </w:p>
          <w:p w14:paraId="6B580474" w14:textId="42D4B35C" w:rsidR="00B602E8" w:rsidRDefault="00B56E08" w:rsidP="00C97FAB">
            <w:pPr>
              <w:pStyle w:val="Header"/>
              <w:jc w:val="both"/>
            </w:pPr>
            <w:r>
              <w:t xml:space="preserve">C.S.H.B. </w:t>
            </w:r>
            <w:r w:rsidR="00B65B70">
              <w:t>2080 requires the person brin</w:t>
            </w:r>
            <w:r w:rsidR="00EB3D1A">
              <w:t>g</w:t>
            </w:r>
            <w:r w:rsidR="00B65B70">
              <w:t xml:space="preserve">ing the suit to </w:t>
            </w:r>
            <w:r w:rsidR="00B65B70" w:rsidRPr="00B65B70">
              <w:t>pay the redetermination amounts that are not disputed in the motion for rehearing</w:t>
            </w:r>
            <w:r w:rsidR="00B65B70">
              <w:t xml:space="preserve"> but establishes that the</w:t>
            </w:r>
            <w:r w:rsidR="00B65B70" w:rsidRPr="00B65B70">
              <w:t xml:space="preserve"> failure to pay an undisputed amount does not affect the jurisdictio</w:t>
            </w:r>
            <w:r w:rsidR="00B65B70">
              <w:t>n of a court to consider a valid suit. The bill</w:t>
            </w:r>
            <w:r>
              <w:t>, as follows:</w:t>
            </w:r>
          </w:p>
          <w:p w14:paraId="39ACBD23" w14:textId="7C87F8AC" w:rsidR="00B602E8" w:rsidRDefault="00B56E08" w:rsidP="00C97FAB">
            <w:pPr>
              <w:pStyle w:val="Header"/>
              <w:numPr>
                <w:ilvl w:val="0"/>
                <w:numId w:val="11"/>
              </w:numPr>
              <w:jc w:val="both"/>
            </w:pPr>
            <w:r>
              <w:t>gives th</w:t>
            </w:r>
            <w:r>
              <w:t xml:space="preserve">e </w:t>
            </w:r>
            <w:r w:rsidRPr="00B65B70">
              <w:t xml:space="preserve">person bringing </w:t>
            </w:r>
            <w:r>
              <w:t>the</w:t>
            </w:r>
            <w:r w:rsidRPr="00B65B70">
              <w:t xml:space="preserve"> suit </w:t>
            </w:r>
            <w:r>
              <w:t xml:space="preserve">the option to pay the disputed amount but establishes that the </w:t>
            </w:r>
            <w:r w:rsidRPr="00B65B70">
              <w:t xml:space="preserve">disputed amount that is not paid and that is </w:t>
            </w:r>
            <w:r>
              <w:t xml:space="preserve">ultimately </w:t>
            </w:r>
            <w:r w:rsidRPr="00B65B70">
              <w:t>determined to be due in a final judgment accrues penalties and interest</w:t>
            </w:r>
            <w:r>
              <w:t xml:space="preserve">; </w:t>
            </w:r>
          </w:p>
          <w:p w14:paraId="693EDC24" w14:textId="0227327E" w:rsidR="00B602E8" w:rsidRDefault="00B56E08" w:rsidP="00C97FAB">
            <w:pPr>
              <w:pStyle w:val="Header"/>
              <w:numPr>
                <w:ilvl w:val="0"/>
                <w:numId w:val="11"/>
              </w:numPr>
              <w:jc w:val="both"/>
            </w:pPr>
            <w:r>
              <w:t>provides that, a</w:t>
            </w:r>
            <w:r w:rsidR="00B65B70" w:rsidRPr="00B65B70">
              <w:t>fter the comptroller has been timel</w:t>
            </w:r>
            <w:r w:rsidR="00B65B70">
              <w:t>y served in a valid suit</w:t>
            </w:r>
            <w:r w:rsidR="00B65B70" w:rsidRPr="00B65B70">
              <w:t xml:space="preserve">, the comptroller and the attorney general are enjoined from collecting disputed amounts </w:t>
            </w:r>
            <w:r w:rsidR="005A0697">
              <w:t xml:space="preserve">from the person bringing the suit </w:t>
            </w:r>
            <w:r w:rsidR="00B65B70" w:rsidRPr="00B65B70">
              <w:t>during the pendency of the suit but are not enjoined from asserting tax liens</w:t>
            </w:r>
            <w:r>
              <w:t>; and</w:t>
            </w:r>
          </w:p>
          <w:p w14:paraId="44EB0383" w14:textId="34C8BA74" w:rsidR="00B65B70" w:rsidRDefault="00B56E08" w:rsidP="00C97FAB">
            <w:pPr>
              <w:pStyle w:val="Header"/>
              <w:numPr>
                <w:ilvl w:val="0"/>
                <w:numId w:val="11"/>
              </w:numPr>
              <w:jc w:val="both"/>
            </w:pPr>
            <w:r>
              <w:t>provides th</w:t>
            </w:r>
            <w:r>
              <w:t>at d</w:t>
            </w:r>
            <w:r w:rsidRPr="00B65B70">
              <w:t xml:space="preserve">amages may be awarded under </w:t>
            </w:r>
            <w:r>
              <w:t>applicable state law</w:t>
            </w:r>
            <w:r w:rsidR="00A3213F">
              <w:t xml:space="preserve"> </w:t>
            </w:r>
            <w:r w:rsidRPr="00B65B70">
              <w:t>if the court determines that all or part of the enjoined collection amounts were disputed solely for delay.</w:t>
            </w:r>
          </w:p>
          <w:p w14:paraId="50F094E8" w14:textId="77777777" w:rsidR="00B65B70" w:rsidRDefault="00B65B70" w:rsidP="00C97FAB">
            <w:pPr>
              <w:pStyle w:val="Header"/>
              <w:jc w:val="both"/>
            </w:pPr>
          </w:p>
          <w:p w14:paraId="53F3D0D6" w14:textId="13A5D434" w:rsidR="00A37271" w:rsidRDefault="00B56E08" w:rsidP="00C97FAB">
            <w:pPr>
              <w:pStyle w:val="Header"/>
              <w:jc w:val="both"/>
            </w:pPr>
            <w:r>
              <w:t xml:space="preserve">C.S.H.B. </w:t>
            </w:r>
            <w:r w:rsidR="00D24764">
              <w:t xml:space="preserve">2080 </w:t>
            </w:r>
            <w:r>
              <w:t>does the following with respect to the procedures for a redetermination suit:</w:t>
            </w:r>
          </w:p>
          <w:p w14:paraId="562AFF87" w14:textId="58A0F37C" w:rsidR="00353307" w:rsidRDefault="00B56E08" w:rsidP="00C97FAB">
            <w:pPr>
              <w:pStyle w:val="Header"/>
              <w:numPr>
                <w:ilvl w:val="0"/>
                <w:numId w:val="6"/>
              </w:numPr>
              <w:jc w:val="both"/>
            </w:pPr>
            <w:r>
              <w:t>se</w:t>
            </w:r>
            <w:r>
              <w:t>ts out provisions relating to the filing of the suit;</w:t>
            </w:r>
          </w:p>
          <w:p w14:paraId="64D84874" w14:textId="590F3BFA" w:rsidR="00353307" w:rsidRDefault="00B56E08" w:rsidP="00C97FAB">
            <w:pPr>
              <w:pStyle w:val="Header"/>
              <w:numPr>
                <w:ilvl w:val="0"/>
                <w:numId w:val="6"/>
              </w:numPr>
              <w:jc w:val="both"/>
            </w:pPr>
            <w:r w:rsidRPr="00D24764">
              <w:t xml:space="preserve">prohibits a person from intervening in </w:t>
            </w:r>
            <w:r>
              <w:t>the</w:t>
            </w:r>
            <w:r w:rsidRPr="00D24764">
              <w:t xml:space="preserve"> suit</w:t>
            </w:r>
            <w:r>
              <w:t>;</w:t>
            </w:r>
          </w:p>
          <w:p w14:paraId="41761FF5" w14:textId="387CD025" w:rsidR="00353307" w:rsidRDefault="00B56E08" w:rsidP="00C97FAB">
            <w:pPr>
              <w:pStyle w:val="Header"/>
              <w:numPr>
                <w:ilvl w:val="0"/>
                <w:numId w:val="6"/>
              </w:numPr>
              <w:jc w:val="both"/>
            </w:pPr>
            <w:r>
              <w:t>sets out requirements for the original petition and records associated with the suit;</w:t>
            </w:r>
          </w:p>
          <w:p w14:paraId="6A973FF4" w14:textId="4322DBDA" w:rsidR="00353307" w:rsidRDefault="00B56E08" w:rsidP="00C97FAB">
            <w:pPr>
              <w:pStyle w:val="Header"/>
              <w:numPr>
                <w:ilvl w:val="0"/>
                <w:numId w:val="6"/>
              </w:numPr>
              <w:jc w:val="both"/>
            </w:pPr>
            <w:r>
              <w:t>provides for the</w:t>
            </w:r>
            <w:r w:rsidR="00DC5B32">
              <w:t xml:space="preserve"> state to bring a counter</w:t>
            </w:r>
            <w:r>
              <w:t>claim in the suit;</w:t>
            </w:r>
          </w:p>
          <w:p w14:paraId="3F5318EA" w14:textId="2B58FFE1" w:rsidR="00353307" w:rsidRDefault="00B56E08" w:rsidP="00C97FAB">
            <w:pPr>
              <w:pStyle w:val="Header"/>
              <w:numPr>
                <w:ilvl w:val="0"/>
                <w:numId w:val="6"/>
              </w:numPr>
              <w:jc w:val="both"/>
            </w:pPr>
            <w:r>
              <w:t>limits</w:t>
            </w:r>
            <w:r w:rsidR="007124C2">
              <w:t xml:space="preserve"> the issues</w:t>
            </w:r>
            <w:r w:rsidR="00A625F7">
              <w:t xml:space="preserve"> </w:t>
            </w:r>
            <w:r>
              <w:t xml:space="preserve">that may </w:t>
            </w:r>
            <w:r w:rsidR="00A625F7">
              <w:t>be raised in the</w:t>
            </w:r>
            <w:r w:rsidR="007124C2">
              <w:t xml:space="preserve"> suit to the grounds of error in the motion for the r</w:t>
            </w:r>
            <w:r w:rsidR="002A22A2">
              <w:t>ehearing</w:t>
            </w:r>
            <w:r>
              <w:t>;</w:t>
            </w:r>
          </w:p>
          <w:p w14:paraId="7DCDFEBC" w14:textId="3D33CF81" w:rsidR="00353307" w:rsidRDefault="00B56E08" w:rsidP="00C97FAB">
            <w:pPr>
              <w:pStyle w:val="Header"/>
              <w:numPr>
                <w:ilvl w:val="0"/>
                <w:numId w:val="6"/>
              </w:numPr>
              <w:jc w:val="both"/>
            </w:pPr>
            <w:r>
              <w:t>establishes that</w:t>
            </w:r>
            <w:r w:rsidR="002A22A2">
              <w:t xml:space="preserve"> the suit </w:t>
            </w:r>
            <w:r>
              <w:t xml:space="preserve">applies only </w:t>
            </w:r>
            <w:r w:rsidR="002A22A2">
              <w:t xml:space="preserve">to </w:t>
            </w:r>
            <w:r w:rsidR="002A22A2" w:rsidRPr="002A22A2">
              <w:t>a tax liability period considered in the comptroller's redetermination</w:t>
            </w:r>
            <w:r>
              <w:t>;</w:t>
            </w:r>
          </w:p>
          <w:p w14:paraId="3DB3E56F" w14:textId="07AC6394" w:rsidR="00353307" w:rsidRDefault="00B56E08" w:rsidP="00C97FAB">
            <w:pPr>
              <w:pStyle w:val="Header"/>
              <w:numPr>
                <w:ilvl w:val="0"/>
                <w:numId w:val="6"/>
              </w:numPr>
              <w:jc w:val="both"/>
            </w:pPr>
            <w:r>
              <w:t>establishes that the attorney general</w:t>
            </w:r>
            <w:r w:rsidRPr="002A22A2">
              <w:t xml:space="preserve"> represent</w:t>
            </w:r>
            <w:r>
              <w:t>s</w:t>
            </w:r>
            <w:r w:rsidRPr="002A22A2">
              <w:t xml:space="preserve"> the comptroller in </w:t>
            </w:r>
            <w:r>
              <w:t xml:space="preserve">the suit and that issues in the suit are </w:t>
            </w:r>
            <w:r w:rsidRPr="002A22A2">
              <w:t>tried de novo</w:t>
            </w:r>
            <w:r>
              <w:t>; and</w:t>
            </w:r>
          </w:p>
          <w:p w14:paraId="6EF1A35E" w14:textId="53FC04F0" w:rsidR="00A105F5" w:rsidRDefault="00B56E08" w:rsidP="00C97FAB">
            <w:pPr>
              <w:pStyle w:val="Header"/>
              <w:numPr>
                <w:ilvl w:val="0"/>
                <w:numId w:val="6"/>
              </w:numPr>
              <w:jc w:val="both"/>
            </w:pPr>
            <w:r>
              <w:t>provides for the applicability of the rule of res judicata in the suit</w:t>
            </w:r>
            <w:r w:rsidR="002A22A2">
              <w:t>.</w:t>
            </w:r>
          </w:p>
          <w:p w14:paraId="4D066B66" w14:textId="77777777" w:rsidR="00A105F5" w:rsidRDefault="00A105F5" w:rsidP="00C97F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9708152" w14:textId="5BCA941F" w:rsidR="002A22A2" w:rsidRDefault="00B56E08" w:rsidP="00C97F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</w:t>
            </w:r>
            <w:r w:rsidR="00CD3F25">
              <w:t>2080</w:t>
            </w:r>
            <w:r w:rsidR="00E14E76">
              <w:t xml:space="preserve"> </w:t>
            </w:r>
            <w:r w:rsidR="008343FA">
              <w:t>does the following</w:t>
            </w:r>
            <w:r w:rsidR="00E14E76">
              <w:t xml:space="preserve"> with respect to </w:t>
            </w:r>
            <w:r w:rsidR="008343FA">
              <w:t xml:space="preserve">a judgment in </w:t>
            </w:r>
            <w:r w:rsidR="00CD3F25">
              <w:t>a redetermination</w:t>
            </w:r>
            <w:r w:rsidR="00E14E76">
              <w:t xml:space="preserve"> suit:</w:t>
            </w:r>
          </w:p>
          <w:p w14:paraId="07DF3EDD" w14:textId="6D7E314F" w:rsidR="00A37271" w:rsidRDefault="00B56E08" w:rsidP="00C97FAB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requires</w:t>
            </w:r>
            <w:r w:rsidR="00B578B6">
              <w:t xml:space="preserve"> the </w:t>
            </w:r>
            <w:r w:rsidR="001107B5">
              <w:t>amount of a judgment refunding</w:t>
            </w:r>
            <w:r w:rsidR="00B578B6">
              <w:t xml:space="preserve"> </w:t>
            </w:r>
            <w:r w:rsidR="00B578B6" w:rsidRPr="00B578B6">
              <w:t xml:space="preserve">disputed taxes, penalties, or interest paid to the comptroller </w:t>
            </w:r>
            <w:r w:rsidR="001107B5">
              <w:t xml:space="preserve">to be credited </w:t>
            </w:r>
            <w:r>
              <w:t>against any state tax, penalty, or interest due from the plaintiff;</w:t>
            </w:r>
          </w:p>
          <w:p w14:paraId="13FA9CCD" w14:textId="05A1632D" w:rsidR="00A37271" w:rsidRDefault="00B56E08" w:rsidP="00C97FAB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requires the remainder of the amount of a judgment not credited to</w:t>
            </w:r>
            <w:r>
              <w:t xml:space="preserve"> be </w:t>
            </w:r>
            <w:r w:rsidR="001107B5">
              <w:t>refunded to the plaintiff</w:t>
            </w:r>
            <w:r>
              <w:t>;</w:t>
            </w:r>
            <w:r w:rsidR="00852710">
              <w:t xml:space="preserve"> and</w:t>
            </w:r>
          </w:p>
          <w:p w14:paraId="6BDC2DF9" w14:textId="73BC396D" w:rsidR="00A37271" w:rsidRDefault="00B56E08" w:rsidP="00C97FAB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entitles the plaintiff </w:t>
            </w:r>
            <w:r w:rsidRPr="00B578B6">
              <w:t>to</w:t>
            </w:r>
            <w:r>
              <w:t xml:space="preserve"> </w:t>
            </w:r>
            <w:r w:rsidRPr="00B578B6">
              <w:t xml:space="preserve">interest on the amount of tax refunded </w:t>
            </w:r>
            <w:r w:rsidR="00B11AE8">
              <w:t>in a judgment for the plaintiff</w:t>
            </w:r>
            <w:r>
              <w:t xml:space="preserve"> that accrues during a specified period in an amount e</w:t>
            </w:r>
            <w:r w:rsidRPr="00A37271">
              <w:t>qual to the amount of interest that would be due if the tax had been de</w:t>
            </w:r>
            <w:r w:rsidRPr="00A37271">
              <w:t xml:space="preserve">posited in the </w:t>
            </w:r>
            <w:r>
              <w:t xml:space="preserve">comptroller's </w:t>
            </w:r>
            <w:r w:rsidR="00296D36">
              <w:t xml:space="preserve">suspense </w:t>
            </w:r>
            <w:r w:rsidR="001516A9">
              <w:t>account</w:t>
            </w:r>
            <w:r w:rsidR="00B11AE8">
              <w:t xml:space="preserve">. </w:t>
            </w:r>
          </w:p>
          <w:p w14:paraId="51527731" w14:textId="77777777" w:rsidR="00052264" w:rsidRDefault="00B56E08" w:rsidP="00C97F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</w:p>
          <w:p w14:paraId="0656B173" w14:textId="069AC603" w:rsidR="009C52C1" w:rsidRPr="003F296D" w:rsidRDefault="00B56E08" w:rsidP="00C97FA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u w:val="single"/>
              </w:rPr>
            </w:pPr>
            <w:r w:rsidRPr="00E64012">
              <w:rPr>
                <w:u w:val="single"/>
              </w:rPr>
              <w:t>Suit After Protest Payment</w:t>
            </w:r>
            <w:r w:rsidR="00496AA0" w:rsidRPr="003F296D">
              <w:rPr>
                <w:u w:val="single"/>
              </w:rPr>
              <w:t xml:space="preserve"> </w:t>
            </w:r>
          </w:p>
          <w:p w14:paraId="2D549094" w14:textId="77777777" w:rsidR="00052264" w:rsidRDefault="00052264" w:rsidP="00C97FAB">
            <w:pPr>
              <w:pStyle w:val="Header"/>
              <w:jc w:val="both"/>
            </w:pPr>
          </w:p>
          <w:p w14:paraId="1DEA957F" w14:textId="075BE595" w:rsidR="00052264" w:rsidRDefault="00B56E08" w:rsidP="00C97FAB">
            <w:pPr>
              <w:pStyle w:val="Header"/>
              <w:jc w:val="both"/>
            </w:pPr>
            <w:r>
              <w:t xml:space="preserve">C.S.H.B. 2080 revises provisions providing for a suit against the state to recover taxes </w:t>
            </w:r>
            <w:r w:rsidR="0043228D">
              <w:t xml:space="preserve">paid </w:t>
            </w:r>
            <w:r>
              <w:t>under protest to do the following:</w:t>
            </w:r>
          </w:p>
          <w:p w14:paraId="200E56DA" w14:textId="6B834BC9" w:rsidR="00052264" w:rsidRDefault="00B56E08" w:rsidP="00C97FAB">
            <w:pPr>
              <w:pStyle w:val="Header"/>
              <w:numPr>
                <w:ilvl w:val="0"/>
                <w:numId w:val="8"/>
              </w:numPr>
              <w:jc w:val="both"/>
            </w:pPr>
            <w:r>
              <w:t>change the scope of the authorized suit from the</w:t>
            </w:r>
            <w:r>
              <w:t xml:space="preserve"> recovery of an occupation, excise, gross receipts, franchise, license, or privilege tax or fee required to be paid to the state to the recovery of</w:t>
            </w:r>
            <w:r w:rsidR="009C52C1">
              <w:t xml:space="preserve"> </w:t>
            </w:r>
            <w:r w:rsidR="00743DE7">
              <w:t xml:space="preserve">any </w:t>
            </w:r>
            <w:r w:rsidR="009C52C1">
              <w:t>tax, penalty, or interest assessed in a deficiency determination</w:t>
            </w:r>
            <w:r>
              <w:t>;</w:t>
            </w:r>
          </w:p>
          <w:p w14:paraId="2AF1C519" w14:textId="1A4DD7C4" w:rsidR="006A1DC5" w:rsidRDefault="00B56E08" w:rsidP="00C97FAB">
            <w:pPr>
              <w:pStyle w:val="Header"/>
              <w:numPr>
                <w:ilvl w:val="0"/>
                <w:numId w:val="8"/>
              </w:numPr>
              <w:jc w:val="both"/>
            </w:pPr>
            <w:r>
              <w:t>require the person bringing the suit t</w:t>
            </w:r>
            <w:r>
              <w:t>o</w:t>
            </w:r>
            <w:r w:rsidR="009C52C1">
              <w:t xml:space="preserve"> pa</w:t>
            </w:r>
            <w:r>
              <w:t>y</w:t>
            </w:r>
            <w:r w:rsidR="009C52C1">
              <w:t xml:space="preserve"> the amount assessed in the deficiency determination and submit with the payment a written protest stating fully and in detail each reason for recovering the amount paid</w:t>
            </w:r>
            <w:r>
              <w:t>;</w:t>
            </w:r>
          </w:p>
          <w:p w14:paraId="75215E2A" w14:textId="26FF42E0" w:rsidR="006A1DC5" w:rsidRDefault="00B56E08" w:rsidP="00C97FAB">
            <w:pPr>
              <w:pStyle w:val="Header"/>
              <w:numPr>
                <w:ilvl w:val="0"/>
                <w:numId w:val="8"/>
              </w:numPr>
              <w:jc w:val="both"/>
            </w:pPr>
            <w:r>
              <w:t xml:space="preserve">establish a uniform </w:t>
            </w:r>
            <w:r w:rsidR="00743DE7">
              <w:t>deadline</w:t>
            </w:r>
            <w:r>
              <w:t xml:space="preserve"> of six months for submitting a protest after the </w:t>
            </w:r>
            <w:r w:rsidR="0043228D">
              <w:t xml:space="preserve">deficiency </w:t>
            </w:r>
            <w:r>
              <w:t>determination becomes final;</w:t>
            </w:r>
          </w:p>
          <w:p w14:paraId="074F42BC" w14:textId="375B3985" w:rsidR="00E61A74" w:rsidRDefault="00B56E08" w:rsidP="00C97FAB">
            <w:pPr>
              <w:pStyle w:val="Header"/>
              <w:numPr>
                <w:ilvl w:val="0"/>
                <w:numId w:val="8"/>
              </w:numPr>
              <w:jc w:val="both"/>
            </w:pPr>
            <w:r>
              <w:t>remove the provision establishing an exception to the 91-day deadline for a suit to be brought after the date the protest payment was made for protests against the franchise tax on a report for which a filing extension</w:t>
            </w:r>
            <w:r>
              <w:t xml:space="preserve"> was granted;</w:t>
            </w:r>
          </w:p>
          <w:p w14:paraId="7F0451B6" w14:textId="77777777" w:rsidR="00690084" w:rsidRDefault="00B56E08" w:rsidP="00C97FAB">
            <w:pPr>
              <w:pStyle w:val="Header"/>
              <w:numPr>
                <w:ilvl w:val="0"/>
                <w:numId w:val="8"/>
              </w:numPr>
              <w:jc w:val="both"/>
            </w:pPr>
            <w:r>
              <w:t xml:space="preserve">provide that provisions requiring the payment of a protested tax before bringing suit and provisions </w:t>
            </w:r>
            <w:r w:rsidR="00230791">
              <w:t>establishing certain procedural requirements in bringing the</w:t>
            </w:r>
            <w:r>
              <w:t xml:space="preserve"> suit are not severable from other provisions </w:t>
            </w:r>
            <w:r w:rsidR="00230791">
              <w:t>governing</w:t>
            </w:r>
            <w:r>
              <w:t xml:space="preserve"> such a suit;</w:t>
            </w:r>
          </w:p>
          <w:p w14:paraId="27984273" w14:textId="2E96C428" w:rsidR="00690084" w:rsidRDefault="00B56E08" w:rsidP="00C97FAB">
            <w:pPr>
              <w:pStyle w:val="Header"/>
              <w:numPr>
                <w:ilvl w:val="0"/>
                <w:numId w:val="8"/>
              </w:numPr>
              <w:jc w:val="both"/>
            </w:pPr>
            <w:r>
              <w:t xml:space="preserve">require the </w:t>
            </w:r>
            <w:r>
              <w:t xml:space="preserve">attorney general to represent the comptroller in </w:t>
            </w:r>
            <w:r w:rsidR="00743DE7">
              <w:t>the suit;</w:t>
            </w:r>
          </w:p>
          <w:p w14:paraId="55FEFEBD" w14:textId="77777777" w:rsidR="00743DE7" w:rsidRDefault="00B56E08" w:rsidP="00C97FAB">
            <w:pPr>
              <w:pStyle w:val="Header"/>
              <w:numPr>
                <w:ilvl w:val="0"/>
                <w:numId w:val="8"/>
              </w:numPr>
              <w:jc w:val="both"/>
            </w:pPr>
            <w:r>
              <w:t>prohibit a person from intervening in the suit; and</w:t>
            </w:r>
          </w:p>
          <w:p w14:paraId="4358FEDE" w14:textId="41BA6973" w:rsidR="006B38C2" w:rsidRDefault="00B56E08" w:rsidP="00C97FAB">
            <w:pPr>
              <w:pStyle w:val="Header"/>
              <w:numPr>
                <w:ilvl w:val="0"/>
                <w:numId w:val="8"/>
              </w:numPr>
              <w:jc w:val="both"/>
            </w:pPr>
            <w:r>
              <w:t>remove the requirement for the officer who receive</w:t>
            </w:r>
            <w:r w:rsidR="00F2568E">
              <w:t>s</w:t>
            </w:r>
            <w:r>
              <w:t xml:space="preserve"> a payment made under protest to send daily to the comptroller the payments received, a list o</w:t>
            </w:r>
            <w:r>
              <w:t>f the persons making the payments, and a written statement that the payments were made under protest</w:t>
            </w:r>
            <w:r w:rsidR="00B76395">
              <w:t>.</w:t>
            </w:r>
          </w:p>
          <w:p w14:paraId="0C5612DE" w14:textId="77777777" w:rsidR="006B38C2" w:rsidRDefault="006B38C2" w:rsidP="00C97FAB">
            <w:pPr>
              <w:pStyle w:val="Header"/>
              <w:jc w:val="both"/>
            </w:pPr>
          </w:p>
          <w:p w14:paraId="64F19A48" w14:textId="7BB25261" w:rsidR="009C52C1" w:rsidRDefault="00B56E08" w:rsidP="00C97FAB">
            <w:pPr>
              <w:pStyle w:val="Header"/>
              <w:jc w:val="both"/>
            </w:pPr>
            <w:r>
              <w:t>C.S.H.B. 2080 repeals provisions authorizing a petitioner to amend a petition to include additional taxes paid under protest before the hearing. The bill</w:t>
            </w:r>
            <w:r>
              <w:t xml:space="preserve"> also repeals provisions requiring a person who brought a suit </w:t>
            </w:r>
            <w:r w:rsidR="00F04683">
              <w:t>to continue to pay additional taxes under protest as they become due during the appeal of the judgment of the tr</w:t>
            </w:r>
            <w:r w:rsidR="00312DFA">
              <w:t>i</w:t>
            </w:r>
            <w:r w:rsidR="00F04683">
              <w:t>al court in the suit.</w:t>
            </w:r>
          </w:p>
          <w:p w14:paraId="658ED29A" w14:textId="2A0585B4" w:rsidR="009C52C1" w:rsidRDefault="009C52C1" w:rsidP="00C97F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0E70AE8" w14:textId="733282D9" w:rsidR="00E64012" w:rsidRPr="003F296D" w:rsidRDefault="00B56E08" w:rsidP="00C97FA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u w:val="single"/>
              </w:rPr>
            </w:pPr>
            <w:r w:rsidRPr="003F296D">
              <w:rPr>
                <w:u w:val="single"/>
              </w:rPr>
              <w:t>General Provisions</w:t>
            </w:r>
          </w:p>
          <w:p w14:paraId="73D2BFC8" w14:textId="2FE170E3" w:rsidR="00E64012" w:rsidRDefault="00E64012" w:rsidP="00C97FA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u w:val="single"/>
              </w:rPr>
            </w:pPr>
          </w:p>
          <w:p w14:paraId="76B47B92" w14:textId="2C0D6247" w:rsidR="00F04683" w:rsidRDefault="00B56E08" w:rsidP="00C97F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2080 repeals provisions </w:t>
            </w:r>
            <w:r>
              <w:t xml:space="preserve">providing for a taxpayer suit </w:t>
            </w:r>
            <w:r w:rsidR="0043228D">
              <w:t>to restrain or enjoin</w:t>
            </w:r>
            <w:r>
              <w:t xml:space="preserve"> the ass</w:t>
            </w:r>
            <w:r w:rsidR="00312DFA">
              <w:t>ess</w:t>
            </w:r>
            <w:r>
              <w:t>ment or collect</w:t>
            </w:r>
            <w:r w:rsidR="00312DFA">
              <w:t>ion</w:t>
            </w:r>
            <w:r>
              <w:t xml:space="preserve"> of a state or local tax or fee collected by the comp</w:t>
            </w:r>
            <w:r w:rsidR="00312DFA">
              <w:t>troller</w:t>
            </w:r>
            <w:r>
              <w:t xml:space="preserve"> under certain circumstances.</w:t>
            </w:r>
          </w:p>
          <w:p w14:paraId="75D54292" w14:textId="77777777" w:rsidR="00F04683" w:rsidRPr="003F296D" w:rsidRDefault="00F04683" w:rsidP="00C97F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884D999" w14:textId="7E79A25D" w:rsidR="002A22A2" w:rsidRDefault="00B56E08" w:rsidP="00C97F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</w:t>
            </w:r>
            <w:r w:rsidR="00354D36">
              <w:t xml:space="preserve">2080 </w:t>
            </w:r>
            <w:r w:rsidR="00353307">
              <w:t>prohibits</w:t>
            </w:r>
            <w:r w:rsidR="00354D36">
              <w:t xml:space="preserve"> </w:t>
            </w:r>
            <w:r w:rsidR="00354D36" w:rsidRPr="00354D36">
              <w:t xml:space="preserve">attorney's fees </w:t>
            </w:r>
            <w:r w:rsidR="00353307">
              <w:t>from</w:t>
            </w:r>
            <w:r w:rsidR="00354D36" w:rsidRPr="00354D36">
              <w:t xml:space="preserve"> be</w:t>
            </w:r>
            <w:r w:rsidR="00353307">
              <w:t>ing</w:t>
            </w:r>
            <w:r w:rsidR="00354D36" w:rsidRPr="00354D36">
              <w:t xml:space="preserve"> awarded in a suit seeking legal or equitable relief against the state, a state agency, or an officer of the state relating to the applicability, assessment, collection, constitutionality, or amount of a tax, fee, or penalty imposed by </w:t>
            </w:r>
            <w:r w:rsidR="00354D36">
              <w:t>the state</w:t>
            </w:r>
            <w:r w:rsidR="00354D36" w:rsidRPr="00354D36">
              <w:t xml:space="preserve"> or </w:t>
            </w:r>
            <w:r w:rsidR="00353307">
              <w:t xml:space="preserve">an applicable </w:t>
            </w:r>
            <w:r w:rsidR="00354D36">
              <w:t>local government</w:t>
            </w:r>
            <w:r w:rsidR="00354D36" w:rsidRPr="00354D36">
              <w:t xml:space="preserve"> or collected by the comptroller under any other law.</w:t>
            </w:r>
          </w:p>
          <w:p w14:paraId="131A658C" w14:textId="3486DD71" w:rsidR="00227FB6" w:rsidRDefault="00227FB6" w:rsidP="00C97F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4EA0D2C" w14:textId="737245F4" w:rsidR="00227FB6" w:rsidRDefault="00B56E08" w:rsidP="00C97F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b/>
              </w:rPr>
              <w:t>Government Code Provisions</w:t>
            </w:r>
          </w:p>
          <w:p w14:paraId="11F11C65" w14:textId="22A012A1" w:rsidR="00B11AE8" w:rsidRDefault="00B56E08" w:rsidP="00C97F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</w:p>
          <w:p w14:paraId="2F1A3325" w14:textId="51047226" w:rsidR="00151F05" w:rsidRDefault="00B56E08" w:rsidP="00C97F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</w:t>
            </w:r>
            <w:r w:rsidR="00B11AE8">
              <w:t xml:space="preserve">2080 amends the Government Code to exempt </w:t>
            </w:r>
            <w:r w:rsidR="009F4F2F">
              <w:t xml:space="preserve">a </w:t>
            </w:r>
            <w:r w:rsidR="00B11AE8">
              <w:t>redetermination suit</w:t>
            </w:r>
            <w:r w:rsidR="009F4F2F">
              <w:t xml:space="preserve"> or a suit for a tax refund</w:t>
            </w:r>
            <w:r w:rsidR="00B11AE8">
              <w:t xml:space="preserve"> </w:t>
            </w:r>
            <w:r w:rsidR="00CD3F25">
              <w:t xml:space="preserve">from </w:t>
            </w:r>
            <w:r w:rsidR="00AE1A7B">
              <w:t xml:space="preserve">the applicability of provisions </w:t>
            </w:r>
            <w:r w:rsidR="009F4F2F">
              <w:t>governing</w:t>
            </w:r>
            <w:r w:rsidR="00AE1A7B">
              <w:t xml:space="preserve"> </w:t>
            </w:r>
            <w:r w:rsidR="00AE1A7B" w:rsidRPr="00AE1A7B">
              <w:t xml:space="preserve">suits </w:t>
            </w:r>
            <w:r w:rsidR="00AE1A7B">
              <w:t xml:space="preserve">brought </w:t>
            </w:r>
            <w:r w:rsidR="00AE1A7B" w:rsidRPr="00AE1A7B">
              <w:t>by persons owing taxes or fees</w:t>
            </w:r>
            <w:r w:rsidR="00AE1A7B">
              <w:t>.</w:t>
            </w:r>
          </w:p>
          <w:p w14:paraId="0D388014" w14:textId="44A22E87" w:rsidR="00227FB6" w:rsidRDefault="00227FB6" w:rsidP="00C97F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CDFD3CD" w14:textId="329BF460" w:rsidR="00E64012" w:rsidRDefault="00B56E08" w:rsidP="00C97FA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rPr>
                <w:b/>
              </w:rPr>
              <w:t>Repeal</w:t>
            </w:r>
            <w:r w:rsidR="007E2644">
              <w:rPr>
                <w:b/>
              </w:rPr>
              <w:t>ed Provision</w:t>
            </w:r>
            <w:r>
              <w:rPr>
                <w:b/>
              </w:rPr>
              <w:t>s</w:t>
            </w:r>
          </w:p>
          <w:p w14:paraId="5B1C8618" w14:textId="77777777" w:rsidR="00E64012" w:rsidRPr="003F296D" w:rsidRDefault="00E64012" w:rsidP="00C97FA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  <w:p w14:paraId="5B8819BB" w14:textId="23FAC5D1" w:rsidR="00C03AA0" w:rsidRDefault="00B56E08" w:rsidP="00C97F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2080 repeals </w:t>
            </w:r>
            <w:r w:rsidR="00E64012">
              <w:t>Section 403.212(e), Government Code</w:t>
            </w:r>
            <w:r w:rsidR="007E2644">
              <w:t>,</w:t>
            </w:r>
            <w:r w:rsidR="00E64012">
              <w:t xml:space="preserve"> and </w:t>
            </w:r>
            <w:r>
              <w:t>the following provisions</w:t>
            </w:r>
            <w:r w:rsidR="00E64012">
              <w:t xml:space="preserve"> of the Tax Code</w:t>
            </w:r>
            <w:r>
              <w:t xml:space="preserve">: </w:t>
            </w:r>
          </w:p>
          <w:p w14:paraId="24243C59" w14:textId="159E8F03" w:rsidR="00E64012" w:rsidRDefault="00B56E08" w:rsidP="00C97FAB">
            <w:pPr>
              <w:pStyle w:val="Header"/>
              <w:numPr>
                <w:ilvl w:val="0"/>
                <w:numId w:val="2"/>
              </w:numPr>
              <w:jc w:val="both"/>
            </w:pPr>
            <w:r>
              <w:t>Section 112.056;</w:t>
            </w:r>
          </w:p>
          <w:p w14:paraId="21449808" w14:textId="665E9DD2" w:rsidR="00FB2339" w:rsidRDefault="00B56E08" w:rsidP="00C97FAB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Section </w:t>
            </w:r>
            <w:r w:rsidR="00C03AA0">
              <w:t>112.057</w:t>
            </w:r>
            <w:r>
              <w:t>;</w:t>
            </w:r>
          </w:p>
          <w:p w14:paraId="069FE346" w14:textId="1532FA1B" w:rsidR="00C03AA0" w:rsidRDefault="00B56E08" w:rsidP="00C97FAB">
            <w:pPr>
              <w:pStyle w:val="Header"/>
              <w:numPr>
                <w:ilvl w:val="0"/>
                <w:numId w:val="2"/>
              </w:numPr>
              <w:jc w:val="both"/>
            </w:pPr>
            <w:r w:rsidRPr="00FB2339">
              <w:t>Sections 112.058(d) and (e)</w:t>
            </w:r>
            <w:r>
              <w:t>; and</w:t>
            </w:r>
            <w:r w:rsidRPr="00FB2339">
              <w:t xml:space="preserve"> </w:t>
            </w:r>
          </w:p>
          <w:p w14:paraId="59607A4A" w14:textId="77777777" w:rsidR="008423E4" w:rsidRDefault="00B56E08" w:rsidP="00C97FA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Subchapter C, C</w:t>
            </w:r>
            <w:r>
              <w:t>hapter 112.</w:t>
            </w:r>
          </w:p>
          <w:p w14:paraId="285FD44D" w14:textId="34B686DC" w:rsidR="00C97FAB" w:rsidRPr="00A37054" w:rsidRDefault="00C97FAB" w:rsidP="00C97F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89479E" w14:paraId="51457EFC" w14:textId="77777777" w:rsidTr="00345119">
        <w:tc>
          <w:tcPr>
            <w:tcW w:w="9576" w:type="dxa"/>
          </w:tcPr>
          <w:p w14:paraId="2FEBAEB4" w14:textId="5C996503" w:rsidR="008423E4" w:rsidRDefault="00B56E08" w:rsidP="00C97FA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</w:p>
          <w:p w14:paraId="03C50820" w14:textId="77777777" w:rsidR="00C97FAB" w:rsidRPr="00A8133F" w:rsidRDefault="00C97FAB" w:rsidP="00C97FAB">
            <w:pPr>
              <w:rPr>
                <w:b/>
              </w:rPr>
            </w:pPr>
          </w:p>
          <w:p w14:paraId="459C0033" w14:textId="77777777" w:rsidR="008423E4" w:rsidRDefault="00B56E08" w:rsidP="00C97F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E63AF35" w14:textId="4A6CA8FE" w:rsidR="00C97FAB" w:rsidRPr="00CD3F25" w:rsidRDefault="00C97FAB" w:rsidP="00C97F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89479E" w14:paraId="4667B196" w14:textId="77777777" w:rsidTr="00345119">
        <w:tc>
          <w:tcPr>
            <w:tcW w:w="9576" w:type="dxa"/>
          </w:tcPr>
          <w:p w14:paraId="34CB8180" w14:textId="77777777" w:rsidR="007016D9" w:rsidRDefault="00B56E08" w:rsidP="007016D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6DF0FA3" w14:textId="05875B70" w:rsidR="00A638F2" w:rsidRPr="007016D9" w:rsidRDefault="00A638F2" w:rsidP="007016D9">
            <w:pPr>
              <w:jc w:val="both"/>
              <w:rPr>
                <w:b/>
                <w:u w:val="single"/>
              </w:rPr>
            </w:pPr>
          </w:p>
        </w:tc>
      </w:tr>
      <w:tr w:rsidR="0089479E" w14:paraId="45F1853F" w14:textId="77777777" w:rsidTr="00345119">
        <w:tc>
          <w:tcPr>
            <w:tcW w:w="9576" w:type="dxa"/>
          </w:tcPr>
          <w:p w14:paraId="6647A72D" w14:textId="77777777" w:rsidR="00A62331" w:rsidRDefault="00B56E08" w:rsidP="00A62331">
            <w:pPr>
              <w:jc w:val="both"/>
            </w:pPr>
            <w:r>
              <w:t xml:space="preserve">While C.S.H.B. 2080 may differ from the original in minor or nonsubstantive ways, the following summarizes the substantial differences between the introduced and </w:t>
            </w:r>
            <w:r>
              <w:t>committee substitute versions of the bill.</w:t>
            </w:r>
          </w:p>
          <w:p w14:paraId="65E54B94" w14:textId="77777777" w:rsidR="00A62331" w:rsidRDefault="00A62331" w:rsidP="00A62331">
            <w:pPr>
              <w:jc w:val="both"/>
            </w:pPr>
          </w:p>
          <w:p w14:paraId="28914BA0" w14:textId="77777777" w:rsidR="00A62331" w:rsidRDefault="00B56E08" w:rsidP="00A62331">
            <w:pPr>
              <w:jc w:val="both"/>
            </w:pPr>
            <w:r>
              <w:t xml:space="preserve">The substitute does not repeal provisions providing for a type of taxpayer suit under which a taxpayer is required to pay the disputed amount of an applicable tax or fee prior to bringing suit against the state. </w:t>
            </w:r>
            <w:r>
              <w:t>The substitute instead retains those provisions and revises them to do the following:</w:t>
            </w:r>
          </w:p>
          <w:p w14:paraId="690F1150" w14:textId="77777777" w:rsidR="00A62331" w:rsidRDefault="00B56E08" w:rsidP="00A62331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change the scope of the authorized suit;</w:t>
            </w:r>
          </w:p>
          <w:p w14:paraId="02182240" w14:textId="77777777" w:rsidR="00A62331" w:rsidRDefault="00B56E08" w:rsidP="00A62331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establish a uniform deadline for submitting a protest;</w:t>
            </w:r>
          </w:p>
          <w:p w14:paraId="72E6B236" w14:textId="77777777" w:rsidR="00A62331" w:rsidRDefault="00B56E08" w:rsidP="00A62331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remove a provision establishing an exception to the deadline for a suit to</w:t>
            </w:r>
            <w:r>
              <w:t xml:space="preserve"> be brought after the date the protest payment was made;</w:t>
            </w:r>
          </w:p>
          <w:p w14:paraId="174FADF8" w14:textId="77777777" w:rsidR="00A62331" w:rsidRDefault="00B56E08" w:rsidP="00A62331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provide that provisions requiring the payment of a protested tax before bringing suit and provisions establishing certain procedural requirements in bringing the suit are not severable from other pro</w:t>
            </w:r>
            <w:r>
              <w:t>visions governing the suit;</w:t>
            </w:r>
          </w:p>
          <w:p w14:paraId="66D1C04F" w14:textId="77777777" w:rsidR="00A62331" w:rsidRDefault="00B56E08" w:rsidP="00A62331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require the attorney general to represent the comptroller in the suit;</w:t>
            </w:r>
          </w:p>
          <w:p w14:paraId="17CB7FE7" w14:textId="77777777" w:rsidR="00A62331" w:rsidRDefault="00B56E08" w:rsidP="00A62331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prohibit a person from intervening in the suit; and</w:t>
            </w:r>
          </w:p>
          <w:p w14:paraId="74F6754A" w14:textId="77777777" w:rsidR="00A62331" w:rsidRDefault="00B56E08" w:rsidP="00A62331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remove the requirement for the officer who receives a payment made under protest to send daily to the com</w:t>
            </w:r>
            <w:r>
              <w:t>ptroller the payments received, a list of the persons making the payments, and a written statement that the payments were made under protest.</w:t>
            </w:r>
          </w:p>
          <w:p w14:paraId="2DFE96D0" w14:textId="77777777" w:rsidR="00A62331" w:rsidRDefault="00A62331" w:rsidP="00A62331">
            <w:pPr>
              <w:jc w:val="both"/>
            </w:pPr>
          </w:p>
          <w:p w14:paraId="503CC229" w14:textId="1AEC7804" w:rsidR="000D25D7" w:rsidRPr="009C1E9A" w:rsidRDefault="00B56E08" w:rsidP="00A62331">
            <w:pPr>
              <w:rPr>
                <w:b/>
                <w:u w:val="single"/>
              </w:rPr>
            </w:pPr>
            <w:r>
              <w:t>The substitute extends the deadline established in the introduced version to file a suit after redetermination fr</w:t>
            </w:r>
            <w:r>
              <w:t>om 60 days after the issue date of the denial of the motion for rehearing to 90 days after that date.</w:t>
            </w:r>
          </w:p>
        </w:tc>
      </w:tr>
      <w:tr w:rsidR="0089479E" w14:paraId="5F0D4681" w14:textId="77777777" w:rsidTr="00345119">
        <w:tc>
          <w:tcPr>
            <w:tcW w:w="9576" w:type="dxa"/>
          </w:tcPr>
          <w:p w14:paraId="686753F8" w14:textId="77777777" w:rsidR="000D25D7" w:rsidRPr="007016D9" w:rsidRDefault="000D25D7" w:rsidP="007016D9">
            <w:pPr>
              <w:spacing w:line="480" w:lineRule="auto"/>
              <w:jc w:val="both"/>
            </w:pPr>
          </w:p>
        </w:tc>
      </w:tr>
      <w:tr w:rsidR="0089479E" w14:paraId="6B9E2589" w14:textId="77777777" w:rsidTr="00345119">
        <w:tc>
          <w:tcPr>
            <w:tcW w:w="9576" w:type="dxa"/>
          </w:tcPr>
          <w:p w14:paraId="767B19EA" w14:textId="77777777" w:rsidR="007016D9" w:rsidRPr="009C0E58" w:rsidRDefault="007016D9" w:rsidP="00C97FAB">
            <w:pPr>
              <w:jc w:val="both"/>
            </w:pPr>
          </w:p>
        </w:tc>
      </w:tr>
      <w:tr w:rsidR="0089479E" w14:paraId="14061277" w14:textId="77777777" w:rsidTr="00345119">
        <w:tc>
          <w:tcPr>
            <w:tcW w:w="9576" w:type="dxa"/>
          </w:tcPr>
          <w:p w14:paraId="3CC606F7" w14:textId="77777777" w:rsidR="007016D9" w:rsidRPr="009C0E58" w:rsidRDefault="007016D9" w:rsidP="00C97FAB">
            <w:pPr>
              <w:jc w:val="both"/>
            </w:pPr>
          </w:p>
        </w:tc>
      </w:tr>
      <w:tr w:rsidR="0089479E" w14:paraId="15A482D7" w14:textId="77777777" w:rsidTr="00345119">
        <w:tc>
          <w:tcPr>
            <w:tcW w:w="9576" w:type="dxa"/>
          </w:tcPr>
          <w:p w14:paraId="3FA41ACA" w14:textId="77777777" w:rsidR="007016D9" w:rsidRPr="009C0E58" w:rsidRDefault="007016D9" w:rsidP="00C97FAB">
            <w:pPr>
              <w:jc w:val="both"/>
            </w:pPr>
          </w:p>
        </w:tc>
      </w:tr>
    </w:tbl>
    <w:p w14:paraId="22707B76" w14:textId="4B7232A7" w:rsidR="004108C3" w:rsidRPr="008423E4" w:rsidRDefault="004108C3" w:rsidP="00C97FA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F2466" w14:textId="77777777" w:rsidR="00000000" w:rsidRDefault="00B56E08">
      <w:r>
        <w:separator/>
      </w:r>
    </w:p>
  </w:endnote>
  <w:endnote w:type="continuationSeparator" w:id="0">
    <w:p w14:paraId="0ED14F46" w14:textId="77777777" w:rsidR="00000000" w:rsidRDefault="00B5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E515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9479E" w14:paraId="7B3845C8" w14:textId="77777777" w:rsidTr="009C1E9A">
      <w:trPr>
        <w:cantSplit/>
      </w:trPr>
      <w:tc>
        <w:tcPr>
          <w:tcW w:w="0" w:type="pct"/>
        </w:tcPr>
        <w:p w14:paraId="305AFEB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DEAE37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725010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1A6521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4A8650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479E" w14:paraId="0E5B352B" w14:textId="77777777" w:rsidTr="009C1E9A">
      <w:trPr>
        <w:cantSplit/>
      </w:trPr>
      <w:tc>
        <w:tcPr>
          <w:tcW w:w="0" w:type="pct"/>
        </w:tcPr>
        <w:p w14:paraId="38DA094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FA20FB5" w14:textId="2C1A2C77" w:rsidR="00EC379B" w:rsidRPr="009C1E9A" w:rsidRDefault="00B56E08" w:rsidP="000D25D7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18192</w:t>
          </w:r>
        </w:p>
      </w:tc>
      <w:tc>
        <w:tcPr>
          <w:tcW w:w="2453" w:type="pct"/>
        </w:tcPr>
        <w:p w14:paraId="2741475B" w14:textId="40503CFA" w:rsidR="00EC379B" w:rsidRDefault="00B56E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12DA9">
            <w:t>21.92.606</w:t>
          </w:r>
          <w:r>
            <w:fldChar w:fldCharType="end"/>
          </w:r>
        </w:p>
      </w:tc>
    </w:tr>
    <w:tr w:rsidR="0089479E" w14:paraId="4126D611" w14:textId="77777777" w:rsidTr="009C1E9A">
      <w:trPr>
        <w:cantSplit/>
      </w:trPr>
      <w:tc>
        <w:tcPr>
          <w:tcW w:w="0" w:type="pct"/>
        </w:tcPr>
        <w:p w14:paraId="5C13748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16B65CB" w14:textId="46917B02" w:rsidR="00EC379B" w:rsidRPr="009C1E9A" w:rsidRDefault="00B56E0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16068</w:t>
          </w:r>
        </w:p>
      </w:tc>
      <w:tc>
        <w:tcPr>
          <w:tcW w:w="2453" w:type="pct"/>
        </w:tcPr>
        <w:p w14:paraId="402D006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975396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479E" w14:paraId="159C515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9EF1AE1" w14:textId="7028E44E" w:rsidR="00EC379B" w:rsidRDefault="00B56E0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12DA9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  <w:p w14:paraId="34E6CEE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8E9D6F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2F51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D257B" w14:textId="77777777" w:rsidR="00000000" w:rsidRDefault="00B56E08">
      <w:r>
        <w:separator/>
      </w:r>
    </w:p>
  </w:footnote>
  <w:footnote w:type="continuationSeparator" w:id="0">
    <w:p w14:paraId="193FF2F6" w14:textId="77777777" w:rsidR="00000000" w:rsidRDefault="00B56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7C0A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5BF9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F5A20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3F7A"/>
    <w:multiLevelType w:val="hybridMultilevel"/>
    <w:tmpl w:val="ECCAC874"/>
    <w:lvl w:ilvl="0" w:tplc="D5B05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CA71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607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26E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815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3891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44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A77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B8A8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2539"/>
    <w:multiLevelType w:val="hybridMultilevel"/>
    <w:tmpl w:val="54D01F3C"/>
    <w:lvl w:ilvl="0" w:tplc="39781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E0A8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BCA9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8F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AE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EA23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61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C57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5A96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1970"/>
    <w:multiLevelType w:val="hybridMultilevel"/>
    <w:tmpl w:val="0F3E207A"/>
    <w:lvl w:ilvl="0" w:tplc="B60CA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CCDB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185F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86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5402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C7D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D06C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47C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4D0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844DD"/>
    <w:multiLevelType w:val="hybridMultilevel"/>
    <w:tmpl w:val="4170F3F6"/>
    <w:lvl w:ilvl="0" w:tplc="FF227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E8E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1EF5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65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B2E5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67C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EE66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0A4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E01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2276D"/>
    <w:multiLevelType w:val="hybridMultilevel"/>
    <w:tmpl w:val="66FA0BD8"/>
    <w:lvl w:ilvl="0" w:tplc="8A5EC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5823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A278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26F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9844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5EAE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05B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1859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D86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35437"/>
    <w:multiLevelType w:val="hybridMultilevel"/>
    <w:tmpl w:val="1F5EC77E"/>
    <w:lvl w:ilvl="0" w:tplc="A03ED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8AC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486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82F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AE4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C88A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642B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32C6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AE5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2417D"/>
    <w:multiLevelType w:val="hybridMultilevel"/>
    <w:tmpl w:val="56EC1F04"/>
    <w:lvl w:ilvl="0" w:tplc="1FB6F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1216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544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EB8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6FB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047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06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6EE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AC69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088C"/>
    <w:multiLevelType w:val="hybridMultilevel"/>
    <w:tmpl w:val="492687F2"/>
    <w:lvl w:ilvl="0" w:tplc="F3FCD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4046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1A6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DEF2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A0AA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78BD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0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865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7CED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75552"/>
    <w:multiLevelType w:val="hybridMultilevel"/>
    <w:tmpl w:val="EE2C9304"/>
    <w:lvl w:ilvl="0" w:tplc="FF700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8E99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A819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6C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8C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66E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521D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A2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187F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242D7"/>
    <w:multiLevelType w:val="hybridMultilevel"/>
    <w:tmpl w:val="01D80D36"/>
    <w:lvl w:ilvl="0" w:tplc="14FA32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74DF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32E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C91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A77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C02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85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ACA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D455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70140"/>
    <w:multiLevelType w:val="hybridMultilevel"/>
    <w:tmpl w:val="6A001B32"/>
    <w:lvl w:ilvl="0" w:tplc="E0A60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22BC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2EC8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00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058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6895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EBF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09B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AD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21"/>
    <w:rsid w:val="00000A70"/>
    <w:rsid w:val="000032B8"/>
    <w:rsid w:val="00003B06"/>
    <w:rsid w:val="000054B9"/>
    <w:rsid w:val="00007461"/>
    <w:rsid w:val="0001004B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5984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2264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3021"/>
    <w:rsid w:val="000903C4"/>
    <w:rsid w:val="00090578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5D7"/>
    <w:rsid w:val="000D2EBA"/>
    <w:rsid w:val="000D32A1"/>
    <w:rsid w:val="000D3725"/>
    <w:rsid w:val="000D46E5"/>
    <w:rsid w:val="000D769C"/>
    <w:rsid w:val="000E1976"/>
    <w:rsid w:val="000E20F1"/>
    <w:rsid w:val="000E3C8D"/>
    <w:rsid w:val="000E559E"/>
    <w:rsid w:val="000E5B20"/>
    <w:rsid w:val="000E7C14"/>
    <w:rsid w:val="000F094C"/>
    <w:rsid w:val="000F0C64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7B5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16A9"/>
    <w:rsid w:val="00151F05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2AEB"/>
    <w:rsid w:val="001B3BFA"/>
    <w:rsid w:val="001B4267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E7C9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7FB6"/>
    <w:rsid w:val="002304DF"/>
    <w:rsid w:val="00230791"/>
    <w:rsid w:val="0023341D"/>
    <w:rsid w:val="002338DA"/>
    <w:rsid w:val="00233D66"/>
    <w:rsid w:val="00233FDB"/>
    <w:rsid w:val="00234D6C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3282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7B0"/>
    <w:rsid w:val="00281883"/>
    <w:rsid w:val="002874E3"/>
    <w:rsid w:val="00287656"/>
    <w:rsid w:val="00291518"/>
    <w:rsid w:val="002916D7"/>
    <w:rsid w:val="00296D36"/>
    <w:rsid w:val="00296FF0"/>
    <w:rsid w:val="002A17C0"/>
    <w:rsid w:val="002A22A2"/>
    <w:rsid w:val="002A48DF"/>
    <w:rsid w:val="002A5A84"/>
    <w:rsid w:val="002A6E6F"/>
    <w:rsid w:val="002A74E4"/>
    <w:rsid w:val="002A76A0"/>
    <w:rsid w:val="002A7CFE"/>
    <w:rsid w:val="002B26DD"/>
    <w:rsid w:val="002B2870"/>
    <w:rsid w:val="002B391B"/>
    <w:rsid w:val="002B5B42"/>
    <w:rsid w:val="002B7649"/>
    <w:rsid w:val="002B7BA7"/>
    <w:rsid w:val="002C1C17"/>
    <w:rsid w:val="002C3203"/>
    <w:rsid w:val="002C3B07"/>
    <w:rsid w:val="002C532B"/>
    <w:rsid w:val="002C5713"/>
    <w:rsid w:val="002D05CC"/>
    <w:rsid w:val="002D305A"/>
    <w:rsid w:val="002E0447"/>
    <w:rsid w:val="002E21B8"/>
    <w:rsid w:val="002E7DF9"/>
    <w:rsid w:val="002F097B"/>
    <w:rsid w:val="002F1529"/>
    <w:rsid w:val="002F3111"/>
    <w:rsid w:val="002F4AEC"/>
    <w:rsid w:val="002F5797"/>
    <w:rsid w:val="002F795D"/>
    <w:rsid w:val="0030000D"/>
    <w:rsid w:val="00300823"/>
    <w:rsid w:val="00300D7F"/>
    <w:rsid w:val="00301638"/>
    <w:rsid w:val="00303B0C"/>
    <w:rsid w:val="0030459C"/>
    <w:rsid w:val="00312DFA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307"/>
    <w:rsid w:val="003536AA"/>
    <w:rsid w:val="00353D62"/>
    <w:rsid w:val="003544CE"/>
    <w:rsid w:val="00354D36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398"/>
    <w:rsid w:val="003747DF"/>
    <w:rsid w:val="00377E3D"/>
    <w:rsid w:val="003847E8"/>
    <w:rsid w:val="0038731D"/>
    <w:rsid w:val="00387B60"/>
    <w:rsid w:val="00390098"/>
    <w:rsid w:val="00392DA1"/>
    <w:rsid w:val="00393718"/>
    <w:rsid w:val="00396FF8"/>
    <w:rsid w:val="003A0296"/>
    <w:rsid w:val="003A10BC"/>
    <w:rsid w:val="003A1453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296D"/>
    <w:rsid w:val="003F3476"/>
    <w:rsid w:val="003F77F8"/>
    <w:rsid w:val="00400ACD"/>
    <w:rsid w:val="00403B15"/>
    <w:rsid w:val="00403E8A"/>
    <w:rsid w:val="0040465B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28D"/>
    <w:rsid w:val="004324E9"/>
    <w:rsid w:val="004350F3"/>
    <w:rsid w:val="00436980"/>
    <w:rsid w:val="00441016"/>
    <w:rsid w:val="00441F2F"/>
    <w:rsid w:val="0044228B"/>
    <w:rsid w:val="00443CD4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6AA0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5BE4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3563"/>
    <w:rsid w:val="00555034"/>
    <w:rsid w:val="005570D2"/>
    <w:rsid w:val="0056153F"/>
    <w:rsid w:val="00561B14"/>
    <w:rsid w:val="00562C87"/>
    <w:rsid w:val="005636BD"/>
    <w:rsid w:val="005666D5"/>
    <w:rsid w:val="005669A7"/>
    <w:rsid w:val="00567C3D"/>
    <w:rsid w:val="00573401"/>
    <w:rsid w:val="00576714"/>
    <w:rsid w:val="0057685A"/>
    <w:rsid w:val="005847EF"/>
    <w:rsid w:val="005851E6"/>
    <w:rsid w:val="005863EE"/>
    <w:rsid w:val="005878B7"/>
    <w:rsid w:val="00592C9A"/>
    <w:rsid w:val="00593DF8"/>
    <w:rsid w:val="00595745"/>
    <w:rsid w:val="005A0697"/>
    <w:rsid w:val="005A0E18"/>
    <w:rsid w:val="005A12A5"/>
    <w:rsid w:val="005A18F4"/>
    <w:rsid w:val="005A25AA"/>
    <w:rsid w:val="005A3790"/>
    <w:rsid w:val="005A3CCB"/>
    <w:rsid w:val="005A5BA8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3819"/>
    <w:rsid w:val="005E4AEB"/>
    <w:rsid w:val="005E7208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7673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67DC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084"/>
    <w:rsid w:val="006907CF"/>
    <w:rsid w:val="00691CCF"/>
    <w:rsid w:val="00693AFA"/>
    <w:rsid w:val="00693CD2"/>
    <w:rsid w:val="00695101"/>
    <w:rsid w:val="00695B9A"/>
    <w:rsid w:val="00696563"/>
    <w:rsid w:val="006979F8"/>
    <w:rsid w:val="006A1DC5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38C2"/>
    <w:rsid w:val="006B54C5"/>
    <w:rsid w:val="006B55EE"/>
    <w:rsid w:val="006B5E80"/>
    <w:rsid w:val="006B7A2E"/>
    <w:rsid w:val="006C4709"/>
    <w:rsid w:val="006D3005"/>
    <w:rsid w:val="006D3D6E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358"/>
    <w:rsid w:val="006F4BB0"/>
    <w:rsid w:val="007016D9"/>
    <w:rsid w:val="007031BD"/>
    <w:rsid w:val="00703E80"/>
    <w:rsid w:val="00705276"/>
    <w:rsid w:val="007066A0"/>
    <w:rsid w:val="007075FB"/>
    <w:rsid w:val="0070787B"/>
    <w:rsid w:val="00707B54"/>
    <w:rsid w:val="0071131D"/>
    <w:rsid w:val="00711E3D"/>
    <w:rsid w:val="00711E85"/>
    <w:rsid w:val="007124C2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3DE7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439A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284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2644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2DA9"/>
    <w:rsid w:val="00814516"/>
    <w:rsid w:val="00815C9D"/>
    <w:rsid w:val="008170E2"/>
    <w:rsid w:val="00823E4C"/>
    <w:rsid w:val="00827749"/>
    <w:rsid w:val="00827B7E"/>
    <w:rsid w:val="00830EEB"/>
    <w:rsid w:val="008343FA"/>
    <w:rsid w:val="008347A9"/>
    <w:rsid w:val="00834E6E"/>
    <w:rsid w:val="00835628"/>
    <w:rsid w:val="00835E90"/>
    <w:rsid w:val="0084176D"/>
    <w:rsid w:val="008423E4"/>
    <w:rsid w:val="00842900"/>
    <w:rsid w:val="00847B2B"/>
    <w:rsid w:val="00850CF0"/>
    <w:rsid w:val="00851869"/>
    <w:rsid w:val="00851C04"/>
    <w:rsid w:val="00852710"/>
    <w:rsid w:val="008531A1"/>
    <w:rsid w:val="00853A94"/>
    <w:rsid w:val="008547A3"/>
    <w:rsid w:val="0085797D"/>
    <w:rsid w:val="00860020"/>
    <w:rsid w:val="008618E7"/>
    <w:rsid w:val="00861995"/>
    <w:rsid w:val="0086231A"/>
    <w:rsid w:val="00862B63"/>
    <w:rsid w:val="0086477C"/>
    <w:rsid w:val="00864BAD"/>
    <w:rsid w:val="00866F91"/>
    <w:rsid w:val="00866F9D"/>
    <w:rsid w:val="008673D9"/>
    <w:rsid w:val="00871775"/>
    <w:rsid w:val="00871AEF"/>
    <w:rsid w:val="008724C9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9E"/>
    <w:rsid w:val="008947A7"/>
    <w:rsid w:val="00897E80"/>
    <w:rsid w:val="008A04FA"/>
    <w:rsid w:val="008A18CF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5D71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4B04"/>
    <w:rsid w:val="009375BB"/>
    <w:rsid w:val="00941572"/>
    <w:rsid w:val="009418E9"/>
    <w:rsid w:val="00944492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44A2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0E58"/>
    <w:rsid w:val="009C1E9A"/>
    <w:rsid w:val="009C2A33"/>
    <w:rsid w:val="009C2E49"/>
    <w:rsid w:val="009C36CD"/>
    <w:rsid w:val="009C43A5"/>
    <w:rsid w:val="009C52C1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4F2F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5F5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13F"/>
    <w:rsid w:val="00A32304"/>
    <w:rsid w:val="00A3420E"/>
    <w:rsid w:val="00A35D66"/>
    <w:rsid w:val="00A37054"/>
    <w:rsid w:val="00A37271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331"/>
    <w:rsid w:val="00A625F7"/>
    <w:rsid w:val="00A6344D"/>
    <w:rsid w:val="00A638F2"/>
    <w:rsid w:val="00A644B8"/>
    <w:rsid w:val="00A70E35"/>
    <w:rsid w:val="00A720DC"/>
    <w:rsid w:val="00A74559"/>
    <w:rsid w:val="00A803CF"/>
    <w:rsid w:val="00A8133F"/>
    <w:rsid w:val="00A82CB4"/>
    <w:rsid w:val="00A837A8"/>
    <w:rsid w:val="00A83C36"/>
    <w:rsid w:val="00A9291C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1A7B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1AE8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56E08"/>
    <w:rsid w:val="00B578B6"/>
    <w:rsid w:val="00B602E8"/>
    <w:rsid w:val="00B6104E"/>
    <w:rsid w:val="00B610C7"/>
    <w:rsid w:val="00B62106"/>
    <w:rsid w:val="00B626A8"/>
    <w:rsid w:val="00B65695"/>
    <w:rsid w:val="00B65B70"/>
    <w:rsid w:val="00B66526"/>
    <w:rsid w:val="00B665A3"/>
    <w:rsid w:val="00B73BB4"/>
    <w:rsid w:val="00B76395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3AA0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13F1"/>
    <w:rsid w:val="00C82743"/>
    <w:rsid w:val="00C834CE"/>
    <w:rsid w:val="00C9047F"/>
    <w:rsid w:val="00C91F65"/>
    <w:rsid w:val="00C92310"/>
    <w:rsid w:val="00C95150"/>
    <w:rsid w:val="00C95A73"/>
    <w:rsid w:val="00C97FAB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3F25"/>
    <w:rsid w:val="00CD4F2C"/>
    <w:rsid w:val="00CD63CE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4764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7B4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0402"/>
    <w:rsid w:val="00DB311F"/>
    <w:rsid w:val="00DB53C6"/>
    <w:rsid w:val="00DB59E3"/>
    <w:rsid w:val="00DB6CB6"/>
    <w:rsid w:val="00DB758F"/>
    <w:rsid w:val="00DC1F1B"/>
    <w:rsid w:val="00DC3D8F"/>
    <w:rsid w:val="00DC42E8"/>
    <w:rsid w:val="00DC5B32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4E76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38F6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1A74"/>
    <w:rsid w:val="00E625DA"/>
    <w:rsid w:val="00E634DC"/>
    <w:rsid w:val="00E64012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27B6"/>
    <w:rsid w:val="00EA385A"/>
    <w:rsid w:val="00EA3931"/>
    <w:rsid w:val="00EA658E"/>
    <w:rsid w:val="00EA7A88"/>
    <w:rsid w:val="00EB27F2"/>
    <w:rsid w:val="00EB3928"/>
    <w:rsid w:val="00EB3D1A"/>
    <w:rsid w:val="00EB5373"/>
    <w:rsid w:val="00EB5602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4683"/>
    <w:rsid w:val="00F05397"/>
    <w:rsid w:val="00F0638C"/>
    <w:rsid w:val="00F11E04"/>
    <w:rsid w:val="00F12B24"/>
    <w:rsid w:val="00F12BC7"/>
    <w:rsid w:val="00F15223"/>
    <w:rsid w:val="00F15BF1"/>
    <w:rsid w:val="00F164B4"/>
    <w:rsid w:val="00F176E4"/>
    <w:rsid w:val="00F20E5F"/>
    <w:rsid w:val="00F2568E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4E6C"/>
    <w:rsid w:val="00F6514B"/>
    <w:rsid w:val="00F6587F"/>
    <w:rsid w:val="00F67981"/>
    <w:rsid w:val="00F706CA"/>
    <w:rsid w:val="00F70F8D"/>
    <w:rsid w:val="00F71C5A"/>
    <w:rsid w:val="00F733A4"/>
    <w:rsid w:val="00F76DB4"/>
    <w:rsid w:val="00F7758F"/>
    <w:rsid w:val="00F82811"/>
    <w:rsid w:val="00F84153"/>
    <w:rsid w:val="00F85661"/>
    <w:rsid w:val="00F860FC"/>
    <w:rsid w:val="00F96602"/>
    <w:rsid w:val="00F9735A"/>
    <w:rsid w:val="00FA32FC"/>
    <w:rsid w:val="00FA59FD"/>
    <w:rsid w:val="00FA5D8C"/>
    <w:rsid w:val="00FA6403"/>
    <w:rsid w:val="00FB16CD"/>
    <w:rsid w:val="00FB2339"/>
    <w:rsid w:val="00FB73AE"/>
    <w:rsid w:val="00FC5388"/>
    <w:rsid w:val="00FC726C"/>
    <w:rsid w:val="00FD1B4B"/>
    <w:rsid w:val="00FD1B94"/>
    <w:rsid w:val="00FE19C5"/>
    <w:rsid w:val="00FE1C3B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33D37B-57C0-477E-A380-F44A1674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972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72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72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7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7284"/>
    <w:rPr>
      <w:b/>
      <w:bCs/>
    </w:rPr>
  </w:style>
  <w:style w:type="paragraph" w:styleId="Revision">
    <w:name w:val="Revision"/>
    <w:hidden/>
    <w:uiPriority w:val="99"/>
    <w:semiHidden/>
    <w:rsid w:val="005535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92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1436</Words>
  <Characters>7549</Characters>
  <Application>Microsoft Office Word</Application>
  <DocSecurity>4</DocSecurity>
  <Lines>176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HB02080 (Committee Report (Substituted))</vt:lpstr>
    </vt:vector>
  </TitlesOfParts>
  <Company>State of Texas</Company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18192</dc:subject>
  <dc:creator>State of Texas</dc:creator>
  <dc:description>HB 2080 by Leman-(H)Ways &amp; Means (Substitute Document Number: 87R 16068)</dc:description>
  <cp:lastModifiedBy>Stacey Nicchio</cp:lastModifiedBy>
  <cp:revision>2</cp:revision>
  <cp:lastPrinted>2003-11-26T17:21:00Z</cp:lastPrinted>
  <dcterms:created xsi:type="dcterms:W3CDTF">2021-04-07T16:51:00Z</dcterms:created>
  <dcterms:modified xsi:type="dcterms:W3CDTF">2021-04-07T16:51:00Z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21.92.606</vt:lpwstr>
  </property>
</Properties>
</file>