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839CF" w14:paraId="5FD24FD2" w14:textId="77777777" w:rsidTr="00345119">
        <w:tc>
          <w:tcPr>
            <w:tcW w:w="9576" w:type="dxa"/>
            <w:noWrap/>
          </w:tcPr>
          <w:p w14:paraId="7616B2B2" w14:textId="77777777" w:rsidR="008423E4" w:rsidRPr="0022177D" w:rsidRDefault="00F04BF1" w:rsidP="001C351F">
            <w:pPr>
              <w:pStyle w:val="Heading1"/>
            </w:pPr>
            <w:bookmarkStart w:id="0" w:name="_GoBack"/>
            <w:bookmarkEnd w:id="0"/>
            <w:r w:rsidRPr="00631897">
              <w:t>BILL ANALYSIS</w:t>
            </w:r>
          </w:p>
        </w:tc>
      </w:tr>
    </w:tbl>
    <w:p w14:paraId="224D208E" w14:textId="77777777" w:rsidR="008423E4" w:rsidRPr="0022177D" w:rsidRDefault="008423E4" w:rsidP="001C351F">
      <w:pPr>
        <w:jc w:val="center"/>
      </w:pPr>
    </w:p>
    <w:p w14:paraId="03E6A555" w14:textId="77777777" w:rsidR="008423E4" w:rsidRPr="00B31F0E" w:rsidRDefault="008423E4" w:rsidP="001C351F"/>
    <w:p w14:paraId="426154C4" w14:textId="77777777" w:rsidR="008423E4" w:rsidRPr="00742794" w:rsidRDefault="008423E4" w:rsidP="001C351F">
      <w:pPr>
        <w:tabs>
          <w:tab w:val="right" w:pos="9360"/>
        </w:tabs>
      </w:pPr>
    </w:p>
    <w:tbl>
      <w:tblPr>
        <w:tblW w:w="0" w:type="auto"/>
        <w:tblLayout w:type="fixed"/>
        <w:tblLook w:val="01E0" w:firstRow="1" w:lastRow="1" w:firstColumn="1" w:lastColumn="1" w:noHBand="0" w:noVBand="0"/>
      </w:tblPr>
      <w:tblGrid>
        <w:gridCol w:w="9576"/>
      </w:tblGrid>
      <w:tr w:rsidR="008839CF" w14:paraId="64D9AEB1" w14:textId="77777777" w:rsidTr="00345119">
        <w:tc>
          <w:tcPr>
            <w:tcW w:w="9576" w:type="dxa"/>
          </w:tcPr>
          <w:p w14:paraId="2AFDC775" w14:textId="138A9879" w:rsidR="008423E4" w:rsidRPr="00861995" w:rsidRDefault="00F04BF1" w:rsidP="001C351F">
            <w:pPr>
              <w:jc w:val="right"/>
            </w:pPr>
            <w:r>
              <w:t>C.S.H.B. 2116</w:t>
            </w:r>
          </w:p>
        </w:tc>
      </w:tr>
      <w:tr w:rsidR="008839CF" w14:paraId="07531101" w14:textId="77777777" w:rsidTr="00345119">
        <w:tc>
          <w:tcPr>
            <w:tcW w:w="9576" w:type="dxa"/>
          </w:tcPr>
          <w:p w14:paraId="0E0F9851" w14:textId="561A5234" w:rsidR="008423E4" w:rsidRPr="00861995" w:rsidRDefault="00F04BF1" w:rsidP="004A11B6">
            <w:pPr>
              <w:jc w:val="right"/>
            </w:pPr>
            <w:r>
              <w:t xml:space="preserve">By: </w:t>
            </w:r>
            <w:r w:rsidR="004A11B6">
              <w:t>Krause</w:t>
            </w:r>
          </w:p>
        </w:tc>
      </w:tr>
      <w:tr w:rsidR="008839CF" w14:paraId="19186030" w14:textId="77777777" w:rsidTr="00345119">
        <w:tc>
          <w:tcPr>
            <w:tcW w:w="9576" w:type="dxa"/>
          </w:tcPr>
          <w:p w14:paraId="18C001F9" w14:textId="6E9A918F" w:rsidR="008423E4" w:rsidRPr="00861995" w:rsidRDefault="00F04BF1" w:rsidP="001C351F">
            <w:pPr>
              <w:jc w:val="right"/>
            </w:pPr>
            <w:r>
              <w:t>Judiciary &amp; Civil Jurisprudence</w:t>
            </w:r>
          </w:p>
        </w:tc>
      </w:tr>
      <w:tr w:rsidR="008839CF" w14:paraId="3819F89F" w14:textId="77777777" w:rsidTr="00345119">
        <w:tc>
          <w:tcPr>
            <w:tcW w:w="9576" w:type="dxa"/>
          </w:tcPr>
          <w:p w14:paraId="572EC3CA" w14:textId="2AAFF0C5" w:rsidR="008423E4" w:rsidRDefault="00F04BF1" w:rsidP="001C351F">
            <w:pPr>
              <w:jc w:val="right"/>
            </w:pPr>
            <w:r>
              <w:t>Committee Report (Substituted)</w:t>
            </w:r>
          </w:p>
        </w:tc>
      </w:tr>
    </w:tbl>
    <w:p w14:paraId="5763B63D" w14:textId="77777777" w:rsidR="008423E4" w:rsidRDefault="008423E4" w:rsidP="001C351F">
      <w:pPr>
        <w:tabs>
          <w:tab w:val="right" w:pos="9360"/>
        </w:tabs>
      </w:pPr>
    </w:p>
    <w:p w14:paraId="27533121" w14:textId="77777777" w:rsidR="008423E4" w:rsidRDefault="008423E4" w:rsidP="001C351F"/>
    <w:p w14:paraId="3D909934" w14:textId="77777777" w:rsidR="008423E4" w:rsidRDefault="008423E4" w:rsidP="001C351F"/>
    <w:tbl>
      <w:tblPr>
        <w:tblW w:w="0" w:type="auto"/>
        <w:tblCellMar>
          <w:left w:w="115" w:type="dxa"/>
          <w:right w:w="115" w:type="dxa"/>
        </w:tblCellMar>
        <w:tblLook w:val="01E0" w:firstRow="1" w:lastRow="1" w:firstColumn="1" w:lastColumn="1" w:noHBand="0" w:noVBand="0"/>
      </w:tblPr>
      <w:tblGrid>
        <w:gridCol w:w="9360"/>
      </w:tblGrid>
      <w:tr w:rsidR="008839CF" w14:paraId="071943BD" w14:textId="77777777" w:rsidTr="00345119">
        <w:tc>
          <w:tcPr>
            <w:tcW w:w="9576" w:type="dxa"/>
          </w:tcPr>
          <w:p w14:paraId="6F522E0A" w14:textId="77777777" w:rsidR="008423E4" w:rsidRPr="00A8133F" w:rsidRDefault="00F04BF1" w:rsidP="001C351F">
            <w:pPr>
              <w:rPr>
                <w:b/>
              </w:rPr>
            </w:pPr>
            <w:r w:rsidRPr="009C1E9A">
              <w:rPr>
                <w:b/>
                <w:u w:val="single"/>
              </w:rPr>
              <w:t>BACKGROUND AND PURPOSE</w:t>
            </w:r>
            <w:r>
              <w:rPr>
                <w:b/>
              </w:rPr>
              <w:t xml:space="preserve"> </w:t>
            </w:r>
          </w:p>
          <w:p w14:paraId="3EBD20C8" w14:textId="77777777" w:rsidR="008423E4" w:rsidRDefault="008423E4" w:rsidP="001C351F"/>
          <w:p w14:paraId="59F781EB" w14:textId="35C33154" w:rsidR="00BB14D7" w:rsidRDefault="00F04BF1" w:rsidP="00BB14D7">
            <w:pPr>
              <w:pStyle w:val="Header"/>
              <w:jc w:val="both"/>
            </w:pPr>
            <w:r>
              <w:t>Interested parties contend that a</w:t>
            </w:r>
            <w:r w:rsidR="009974B7">
              <w:t xml:space="preserve"> duty to defend </w:t>
            </w:r>
            <w:r>
              <w:t xml:space="preserve">clause </w:t>
            </w:r>
            <w:r w:rsidR="009974B7">
              <w:t xml:space="preserve">in a </w:t>
            </w:r>
            <w:r w:rsidR="009D0FD4">
              <w:t xml:space="preserve">construction </w:t>
            </w:r>
            <w:r w:rsidR="009974B7">
              <w:t xml:space="preserve">contract </w:t>
            </w:r>
            <w:r>
              <w:t xml:space="preserve">for engineering and architectural services is uninsurable, unreasonable, and unfair. Such a clause </w:t>
            </w:r>
            <w:r w:rsidR="009974B7">
              <w:t xml:space="preserve">would require an engineer or architect to </w:t>
            </w:r>
            <w:r>
              <w:t xml:space="preserve">defend and </w:t>
            </w:r>
            <w:r w:rsidR="009974B7">
              <w:t>pay the owner</w:t>
            </w:r>
            <w:r w:rsidR="00F5091B">
              <w:t>'</w:t>
            </w:r>
            <w:r w:rsidR="009974B7">
              <w:t xml:space="preserve">s legal bills before any determination of liability or even after a finding of no liability. </w:t>
            </w:r>
            <w:r>
              <w:t>This is already prohibited in Texas statute for public</w:t>
            </w:r>
            <w:r w:rsidR="009974B7">
              <w:t xml:space="preserve"> contract</w:t>
            </w:r>
            <w:r w:rsidR="006F24D9">
              <w:t>s</w:t>
            </w:r>
            <w:r w:rsidR="009974B7">
              <w:t xml:space="preserve"> </w:t>
            </w:r>
            <w:r w:rsidR="005411D0">
              <w:t>for</w:t>
            </w:r>
            <w:r w:rsidR="009974B7">
              <w:t xml:space="preserve"> engineer</w:t>
            </w:r>
            <w:r w:rsidR="005411D0">
              <w:t>ing</w:t>
            </w:r>
            <w:r w:rsidR="009974B7">
              <w:t xml:space="preserve"> or architect</w:t>
            </w:r>
            <w:r w:rsidR="005411D0">
              <w:t>ural services</w:t>
            </w:r>
            <w:r>
              <w:t>.</w:t>
            </w:r>
            <w:r w:rsidR="009974B7">
              <w:t xml:space="preserve"> </w:t>
            </w:r>
            <w:r>
              <w:t>E</w:t>
            </w:r>
            <w:r w:rsidR="009974B7">
              <w:t>ngineers and architects carry professional liability insurance</w:t>
            </w:r>
            <w:r w:rsidR="00A80C6C">
              <w:t xml:space="preserve"> to protect</w:t>
            </w:r>
            <w:r>
              <w:t xml:space="preserve"> against any action brought against the engineer or architect arising o</w:t>
            </w:r>
            <w:r>
              <w:t>ut of their services and work</w:t>
            </w:r>
            <w:r w:rsidR="00C413FE">
              <w:t xml:space="preserve"> and</w:t>
            </w:r>
            <w:r>
              <w:t xml:space="preserve"> </w:t>
            </w:r>
            <w:r w:rsidR="00A80C6C">
              <w:t xml:space="preserve">also </w:t>
            </w:r>
            <w:r>
              <w:t xml:space="preserve">carry commercial general liability </w:t>
            </w:r>
            <w:r w:rsidR="00C413FE">
              <w:t xml:space="preserve">(CGL) </w:t>
            </w:r>
            <w:r>
              <w:t>insuranc</w:t>
            </w:r>
            <w:r w:rsidR="00A80C6C">
              <w:t>e policies to cover any other liability that does not arise from</w:t>
            </w:r>
            <w:r>
              <w:t xml:space="preserve"> those services</w:t>
            </w:r>
            <w:r w:rsidR="00A80C6C">
              <w:t xml:space="preserve"> and work</w:t>
            </w:r>
            <w:r>
              <w:t>.</w:t>
            </w:r>
            <w:r w:rsidR="00A80C6C">
              <w:t xml:space="preserve"> Whereas the work of a contractor performing construction is covered under a CGL policy, the work of the engineer or architect is not.</w:t>
            </w:r>
            <w:r>
              <w:t xml:space="preserve"> </w:t>
            </w:r>
            <w:r w:rsidR="00C413FE">
              <w:t>Unfortunately</w:t>
            </w:r>
            <w:r>
              <w:t xml:space="preserve">, a professional liability insurance policy </w:t>
            </w:r>
            <w:r w:rsidR="00C413FE">
              <w:t>intended to cover the services and work of the professional engineer or architect does</w:t>
            </w:r>
            <w:r>
              <w:t xml:space="preserve"> not cover against paying the defense cost for someone other than the enginee</w:t>
            </w:r>
            <w:r w:rsidR="00C413FE">
              <w:t>r or architect.</w:t>
            </w:r>
            <w:r>
              <w:t xml:space="preserve"> </w:t>
            </w:r>
            <w:r w:rsidR="00C413FE">
              <w:t>C</w:t>
            </w:r>
            <w:r>
              <w:t xml:space="preserve">onsequently, if an engineer or architect signs a contract for professional services with a duty to defend clause, they </w:t>
            </w:r>
            <w:r w:rsidR="00C413FE">
              <w:t>could</w:t>
            </w:r>
            <w:r>
              <w:t xml:space="preserve"> </w:t>
            </w:r>
            <w:r w:rsidR="00A80C6C">
              <w:t xml:space="preserve">be required to </w:t>
            </w:r>
            <w:r>
              <w:t xml:space="preserve">pay out of pocket for </w:t>
            </w:r>
            <w:r>
              <w:t>a costly expense and would be faced with severe and potentially bankrupting business consequences.</w:t>
            </w:r>
            <w:r w:rsidR="001D7B3C">
              <w:t xml:space="preserve"> </w:t>
            </w:r>
            <w:r w:rsidR="009D0FD4">
              <w:t>C.S.</w:t>
            </w:r>
            <w:r w:rsidR="009974B7">
              <w:t>H</w:t>
            </w:r>
            <w:r w:rsidR="009D0FD4">
              <w:t>.</w:t>
            </w:r>
            <w:r w:rsidR="009974B7">
              <w:t>B</w:t>
            </w:r>
            <w:r w:rsidR="009D0FD4">
              <w:t>.</w:t>
            </w:r>
            <w:r w:rsidR="009974B7">
              <w:t xml:space="preserve"> 2116 </w:t>
            </w:r>
            <w:r w:rsidR="00F124EF">
              <w:t>seeks to</w:t>
            </w:r>
            <w:r>
              <w:t xml:space="preserve"> address this issue by prohibiting design contracts for</w:t>
            </w:r>
            <w:r w:rsidR="00F124EF">
              <w:t xml:space="preserve"> </w:t>
            </w:r>
            <w:r>
              <w:t>engineering and architectural services from including unreasonable, uninsurable</w:t>
            </w:r>
            <w:r>
              <w:t xml:space="preserve"> risk-shifting duty to defend provisions; protecting the rights of owners by providing for recovery of reasonable attorney’s fees from engineers or architects upon a final determination of liability; and by requiring contracts for engineering or architectu</w:t>
            </w:r>
            <w:r>
              <w:t xml:space="preserve">ral services to include a reasonable and insurable standard of care for professional services.  </w:t>
            </w:r>
          </w:p>
          <w:p w14:paraId="789F68E7" w14:textId="6C0F8A55" w:rsidR="008423E4" w:rsidRDefault="008423E4" w:rsidP="001C351F">
            <w:pPr>
              <w:pStyle w:val="Header"/>
              <w:jc w:val="both"/>
            </w:pPr>
          </w:p>
          <w:p w14:paraId="1688545D" w14:textId="77777777" w:rsidR="008423E4" w:rsidRPr="00E26B13" w:rsidRDefault="008423E4" w:rsidP="001C351F">
            <w:pPr>
              <w:rPr>
                <w:b/>
              </w:rPr>
            </w:pPr>
          </w:p>
        </w:tc>
      </w:tr>
      <w:tr w:rsidR="008839CF" w14:paraId="01163C60" w14:textId="77777777" w:rsidTr="00345119">
        <w:tc>
          <w:tcPr>
            <w:tcW w:w="9576" w:type="dxa"/>
          </w:tcPr>
          <w:p w14:paraId="6F4855DE" w14:textId="77777777" w:rsidR="0017725B" w:rsidRDefault="00F04BF1" w:rsidP="001C351F">
            <w:pPr>
              <w:rPr>
                <w:b/>
                <w:u w:val="single"/>
              </w:rPr>
            </w:pPr>
            <w:r>
              <w:rPr>
                <w:b/>
                <w:u w:val="single"/>
              </w:rPr>
              <w:t>CRIMINAL JUSTICE IMPACT</w:t>
            </w:r>
          </w:p>
          <w:p w14:paraId="451305EE" w14:textId="77777777" w:rsidR="0017725B" w:rsidRDefault="0017725B" w:rsidP="001C351F">
            <w:pPr>
              <w:rPr>
                <w:b/>
                <w:u w:val="single"/>
              </w:rPr>
            </w:pPr>
          </w:p>
          <w:p w14:paraId="05D7650A" w14:textId="77777777" w:rsidR="003A71A2" w:rsidRPr="003A71A2" w:rsidRDefault="00F04BF1" w:rsidP="001C351F">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14:paraId="334BE17D" w14:textId="77777777" w:rsidR="0017725B" w:rsidRPr="0017725B" w:rsidRDefault="0017725B" w:rsidP="001C351F">
            <w:pPr>
              <w:rPr>
                <w:b/>
                <w:u w:val="single"/>
              </w:rPr>
            </w:pPr>
          </w:p>
        </w:tc>
      </w:tr>
      <w:tr w:rsidR="008839CF" w14:paraId="3E5E1E4F" w14:textId="77777777" w:rsidTr="00345119">
        <w:tc>
          <w:tcPr>
            <w:tcW w:w="9576" w:type="dxa"/>
          </w:tcPr>
          <w:p w14:paraId="4D16D8AF" w14:textId="77777777" w:rsidR="008423E4" w:rsidRPr="00A8133F" w:rsidRDefault="00F04BF1" w:rsidP="001C351F">
            <w:pPr>
              <w:rPr>
                <w:b/>
              </w:rPr>
            </w:pPr>
            <w:r w:rsidRPr="009C1E9A">
              <w:rPr>
                <w:b/>
                <w:u w:val="single"/>
              </w:rPr>
              <w:t>RULEMAKING AUTHORITY</w:t>
            </w:r>
            <w:r>
              <w:rPr>
                <w:b/>
              </w:rPr>
              <w:t xml:space="preserve"> </w:t>
            </w:r>
          </w:p>
          <w:p w14:paraId="0083990E" w14:textId="77777777" w:rsidR="008423E4" w:rsidRDefault="008423E4" w:rsidP="001C351F"/>
          <w:p w14:paraId="5393671B" w14:textId="77777777" w:rsidR="003A71A2" w:rsidRDefault="00F04BF1" w:rsidP="001C351F">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14:paraId="58E7596A" w14:textId="77777777" w:rsidR="008423E4" w:rsidRPr="00E21FDC" w:rsidRDefault="008423E4" w:rsidP="001C351F">
            <w:pPr>
              <w:rPr>
                <w:b/>
              </w:rPr>
            </w:pPr>
          </w:p>
        </w:tc>
      </w:tr>
      <w:tr w:rsidR="008839CF" w14:paraId="29663CAF" w14:textId="77777777" w:rsidTr="00345119">
        <w:tc>
          <w:tcPr>
            <w:tcW w:w="9576" w:type="dxa"/>
          </w:tcPr>
          <w:p w14:paraId="3BBD9EA2" w14:textId="32C9479A" w:rsidR="008423E4" w:rsidRPr="00A8133F" w:rsidRDefault="00F04BF1" w:rsidP="001C351F">
            <w:pPr>
              <w:rPr>
                <w:b/>
              </w:rPr>
            </w:pPr>
            <w:r w:rsidRPr="009C1E9A">
              <w:rPr>
                <w:b/>
                <w:u w:val="single"/>
              </w:rPr>
              <w:t>ANALYSIS</w:t>
            </w:r>
            <w:r>
              <w:rPr>
                <w:b/>
              </w:rPr>
              <w:t xml:space="preserve"> </w:t>
            </w:r>
          </w:p>
          <w:p w14:paraId="747B6FD6" w14:textId="77777777" w:rsidR="008423E4" w:rsidRDefault="008423E4" w:rsidP="001C351F"/>
          <w:p w14:paraId="3E7E4D6B" w14:textId="013D78B2" w:rsidR="003A71A2" w:rsidRDefault="00F04BF1" w:rsidP="001C351F">
            <w:pPr>
              <w:pStyle w:val="Header"/>
              <w:tabs>
                <w:tab w:val="clear" w:pos="4320"/>
                <w:tab w:val="clear" w:pos="8640"/>
              </w:tabs>
              <w:jc w:val="both"/>
            </w:pPr>
            <w:r>
              <w:t>C.S.</w:t>
            </w:r>
            <w:r w:rsidR="00482B9E">
              <w:t xml:space="preserve">H.B. 2116 amends the </w:t>
            </w:r>
            <w:r w:rsidR="00482B9E" w:rsidRPr="00482B9E">
              <w:t>Civil Practice and Remedies Code</w:t>
            </w:r>
            <w:r w:rsidR="00482B9E">
              <w:t xml:space="preserve"> to </w:t>
            </w:r>
            <w:r w:rsidR="00051F2A">
              <w:t xml:space="preserve">render </w:t>
            </w:r>
            <w:r w:rsidR="00482B9E">
              <w:t xml:space="preserve">void and unenforceable </w:t>
            </w:r>
            <w:r w:rsidR="00482B9E" w:rsidRPr="00482B9E">
              <w:t xml:space="preserve">a covenant or promise in, in connection with, or collateral to a </w:t>
            </w:r>
            <w:r>
              <w:t>constructi</w:t>
            </w:r>
            <w:r>
              <w:t xml:space="preserve">on </w:t>
            </w:r>
            <w:r w:rsidR="00482B9E" w:rsidRPr="00482B9E">
              <w:t>contract for engineering or architectural services related to an improvement to real property</w:t>
            </w:r>
            <w:r w:rsidR="00482B9E">
              <w:t xml:space="preserve"> that </w:t>
            </w:r>
            <w:r w:rsidR="00482B9E" w:rsidRPr="00482B9E">
              <w:t>provides that a licensed engineer or registered architect must defend a party, including a third party</w:t>
            </w:r>
            <w:r>
              <w:t xml:space="preserve">, against a </w:t>
            </w:r>
            <w:r w:rsidRPr="00A44E50">
              <w:t xml:space="preserve">claim based wholly or partly on the </w:t>
            </w:r>
            <w:r w:rsidRPr="00A44E50">
              <w:t>negligence of, fault of, or breach of contract by the owner</w:t>
            </w:r>
            <w:r>
              <w:t xml:space="preserve"> or another entity over which the owner exercises control</w:t>
            </w:r>
            <w:r w:rsidR="00482B9E" w:rsidRPr="00482B9E">
              <w:t>.</w:t>
            </w:r>
            <w:r w:rsidR="00482B9E">
              <w:t xml:space="preserve"> The bill authorizes a covenant or promise in</w:t>
            </w:r>
            <w:r w:rsidR="00051F2A">
              <w:t>, in connection with, or collateral to such a contract</w:t>
            </w:r>
            <w:r w:rsidR="00482B9E">
              <w:t xml:space="preserve"> to </w:t>
            </w:r>
            <w:r w:rsidR="00482B9E" w:rsidRPr="00482B9E">
              <w:t>provide for the reimbursement of an owner's reasonable attorney's fees in proportion to the engineer's or architect's liability.</w:t>
            </w:r>
            <w:r w:rsidR="00482B9E">
              <w:t xml:space="preserve"> </w:t>
            </w:r>
            <w:r w:rsidR="004132BE">
              <w:t>These provisions expressly do</w:t>
            </w:r>
            <w:r w:rsidRPr="003A71A2">
              <w:t xml:space="preserve"> not apply to a contract for design-build services in which an owner contracts with a single entity to provide both design and constru</w:t>
            </w:r>
            <w:r w:rsidRPr="003A71A2">
              <w:t>ction services.</w:t>
            </w:r>
          </w:p>
          <w:p w14:paraId="0E6CD246" w14:textId="77777777" w:rsidR="003A71A2" w:rsidRDefault="003A71A2" w:rsidP="001C351F">
            <w:pPr>
              <w:pStyle w:val="Header"/>
              <w:tabs>
                <w:tab w:val="clear" w:pos="4320"/>
                <w:tab w:val="clear" w:pos="8640"/>
              </w:tabs>
              <w:jc w:val="both"/>
            </w:pPr>
          </w:p>
          <w:p w14:paraId="4F3251CA" w14:textId="77777777" w:rsidR="00C57F39" w:rsidRDefault="00F04BF1" w:rsidP="001C351F">
            <w:pPr>
              <w:pStyle w:val="Header"/>
              <w:tabs>
                <w:tab w:val="clear" w:pos="4320"/>
                <w:tab w:val="clear" w:pos="8640"/>
              </w:tabs>
              <w:jc w:val="both"/>
            </w:pPr>
            <w:r>
              <w:t>C.S.</w:t>
            </w:r>
            <w:r w:rsidR="003A71A2">
              <w:t>H.B. 2116</w:t>
            </w:r>
            <w:r w:rsidR="009D2463" w:rsidRPr="009D2463">
              <w:t xml:space="preserve"> authorizes an owner that is a party to a contract for engineering or architectural services related to an improvement to real property to require in the contract that the engineer or architect name the owner as an additional insured under the engineer's or architect's commercial general liability insurance policy and provide any defense to the owner provided by the policy to a named insured. </w:t>
            </w:r>
          </w:p>
          <w:p w14:paraId="1536C182" w14:textId="77777777" w:rsidR="00C57F39" w:rsidRDefault="00C57F39" w:rsidP="001C351F">
            <w:pPr>
              <w:pStyle w:val="Header"/>
              <w:tabs>
                <w:tab w:val="clear" w:pos="4320"/>
                <w:tab w:val="clear" w:pos="8640"/>
              </w:tabs>
              <w:jc w:val="both"/>
            </w:pPr>
          </w:p>
          <w:p w14:paraId="7FCB7715" w14:textId="502F4B2E" w:rsidR="009C36CD" w:rsidRPr="009C36CD" w:rsidRDefault="00F04BF1" w:rsidP="001C351F">
            <w:pPr>
              <w:pStyle w:val="Header"/>
              <w:tabs>
                <w:tab w:val="clear" w:pos="4320"/>
                <w:tab w:val="clear" w:pos="8640"/>
              </w:tabs>
              <w:jc w:val="both"/>
            </w:pPr>
            <w:r>
              <w:t xml:space="preserve">C.S.H.B. 2116 requires </w:t>
            </w:r>
            <w:r w:rsidR="003A71A2">
              <w:t xml:space="preserve">a </w:t>
            </w:r>
            <w:r>
              <w:t xml:space="preserve">construction </w:t>
            </w:r>
            <w:r w:rsidR="003A71A2">
              <w:t xml:space="preserve">contract </w:t>
            </w:r>
            <w:r w:rsidRPr="00C57F39">
              <w:t>for architectural or engineering serv</w:t>
            </w:r>
            <w:r w:rsidRPr="00C57F39">
              <w:t xml:space="preserve">ices or a contract related to the construction or repair of an improvement to real property that contains </w:t>
            </w:r>
            <w:r>
              <w:t>such</w:t>
            </w:r>
            <w:r w:rsidRPr="00C57F39">
              <w:t xml:space="preserve"> services as a component part</w:t>
            </w:r>
            <w:r w:rsidR="00DC79AA">
              <w:t xml:space="preserve"> </w:t>
            </w:r>
            <w:r w:rsidR="009B0714">
              <w:t xml:space="preserve">to </w:t>
            </w:r>
            <w:r w:rsidR="00DC79AA">
              <w:t>require</w:t>
            </w:r>
            <w:r w:rsidR="003A71A2">
              <w:t xml:space="preserve"> </w:t>
            </w:r>
            <w:r w:rsidR="00A44E50" w:rsidRPr="00A44E50">
              <w:t>that the services</w:t>
            </w:r>
            <w:r>
              <w:t xml:space="preserve"> </w:t>
            </w:r>
            <w:r w:rsidR="00445976" w:rsidRPr="00445976">
              <w:t xml:space="preserve">be performed with the </w:t>
            </w:r>
            <w:r w:rsidR="003A71A2" w:rsidRPr="003A71A2">
              <w:t xml:space="preserve">professional skill and </w:t>
            </w:r>
            <w:r>
              <w:t xml:space="preserve">care </w:t>
            </w:r>
            <w:r w:rsidR="003A71A2" w:rsidRPr="003A71A2">
              <w:t xml:space="preserve">ordinarily </w:t>
            </w:r>
            <w:r w:rsidR="00445976">
              <w:t>provided by competent</w:t>
            </w:r>
            <w:r w:rsidR="00445976" w:rsidRPr="003A71A2">
              <w:t xml:space="preserve"> </w:t>
            </w:r>
            <w:r w:rsidR="003A71A2" w:rsidRPr="003A71A2">
              <w:t>engineer</w:t>
            </w:r>
            <w:r w:rsidR="00445976">
              <w:t>s</w:t>
            </w:r>
            <w:r w:rsidR="003A71A2" w:rsidRPr="003A71A2">
              <w:t xml:space="preserve"> or architect</w:t>
            </w:r>
            <w:r w:rsidR="00445976">
              <w:t>s</w:t>
            </w:r>
            <w:r w:rsidR="003A71A2" w:rsidRPr="003A71A2">
              <w:t xml:space="preserve"> </w:t>
            </w:r>
            <w:r>
              <w:t>practicing under</w:t>
            </w:r>
            <w:r w:rsidRPr="003A71A2">
              <w:t xml:space="preserve"> </w:t>
            </w:r>
            <w:r w:rsidR="003A71A2" w:rsidRPr="003A71A2">
              <w:t>the same or similar circumstances</w:t>
            </w:r>
            <w:r w:rsidRPr="003A71A2">
              <w:t xml:space="preserve"> </w:t>
            </w:r>
            <w:r>
              <w:t>and professional license</w:t>
            </w:r>
            <w:r w:rsidR="003A71A2" w:rsidRPr="003A71A2">
              <w:t>.</w:t>
            </w:r>
            <w:r w:rsidR="000A3677">
              <w:t xml:space="preserve"> </w:t>
            </w:r>
            <w:r w:rsidR="0004349C">
              <w:t>If</w:t>
            </w:r>
            <w:r w:rsidR="00445976">
              <w:t xml:space="preserve"> </w:t>
            </w:r>
            <w:r>
              <w:t xml:space="preserve">such </w:t>
            </w:r>
            <w:r w:rsidR="00445976">
              <w:t xml:space="preserve">a contract </w:t>
            </w:r>
            <w:r w:rsidR="0004349C">
              <w:t xml:space="preserve">contains a provision </w:t>
            </w:r>
            <w:r w:rsidR="00445976">
              <w:t xml:space="preserve">that establishes a different standard of care, </w:t>
            </w:r>
            <w:r w:rsidR="0004349C">
              <w:t xml:space="preserve">that provision is void and unenforceable </w:t>
            </w:r>
            <w:r w:rsidR="00445976">
              <w:t xml:space="preserve">and </w:t>
            </w:r>
            <w:r w:rsidR="0004349C">
              <w:t xml:space="preserve">the standard of care </w:t>
            </w:r>
            <w:r w:rsidR="002D217A">
              <w:t xml:space="preserve">prescribed by the bill </w:t>
            </w:r>
            <w:r w:rsidR="0004349C">
              <w:t xml:space="preserve">applies to the performance of the services. </w:t>
            </w:r>
            <w:r w:rsidR="001225FF">
              <w:t>The</w:t>
            </w:r>
            <w:r w:rsidR="00DE7159">
              <w:t>se standard of care requirements apply to an owner of interest in real property or persons employed solely by that owner regardless of the</w:t>
            </w:r>
            <w:r w:rsidR="001225FF">
              <w:t xml:space="preserve"> </w:t>
            </w:r>
            <w:r w:rsidR="001225FF" w:rsidRPr="002D217A">
              <w:t xml:space="preserve">general </w:t>
            </w:r>
            <w:r w:rsidR="004E554A" w:rsidRPr="002D217A">
              <w:t>exempti</w:t>
            </w:r>
            <w:r w:rsidR="001225FF" w:rsidRPr="002D217A">
              <w:t>on</w:t>
            </w:r>
            <w:r w:rsidR="00E36255">
              <w:t>s</w:t>
            </w:r>
            <w:r w:rsidR="004E554A">
              <w:t xml:space="preserve"> for </w:t>
            </w:r>
            <w:r w:rsidR="00DE7159">
              <w:t>those parties</w:t>
            </w:r>
            <w:r w:rsidR="001225FF">
              <w:t xml:space="preserve"> from </w:t>
            </w:r>
            <w:r w:rsidR="00DE7159">
              <w:t xml:space="preserve">statutory </w:t>
            </w:r>
            <w:r w:rsidR="001225FF">
              <w:t>provisions governing liability provisions</w:t>
            </w:r>
            <w:r w:rsidR="00DE7159">
              <w:t xml:space="preserve"> in certain construction contracts</w:t>
            </w:r>
            <w:r w:rsidR="004E554A">
              <w:t>.</w:t>
            </w:r>
            <w:r w:rsidR="009974B7">
              <w:t xml:space="preserve"> </w:t>
            </w:r>
          </w:p>
          <w:p w14:paraId="3BA44E8D" w14:textId="77777777" w:rsidR="008423E4" w:rsidRPr="00835628" w:rsidRDefault="008423E4" w:rsidP="001C351F">
            <w:pPr>
              <w:rPr>
                <w:b/>
              </w:rPr>
            </w:pPr>
          </w:p>
        </w:tc>
      </w:tr>
      <w:tr w:rsidR="008839CF" w14:paraId="10D5B5C5" w14:textId="77777777" w:rsidTr="00345119">
        <w:tc>
          <w:tcPr>
            <w:tcW w:w="9576" w:type="dxa"/>
          </w:tcPr>
          <w:p w14:paraId="5232C7A9" w14:textId="77777777" w:rsidR="008423E4" w:rsidRPr="00A8133F" w:rsidRDefault="00F04BF1" w:rsidP="001C351F">
            <w:pPr>
              <w:rPr>
                <w:b/>
              </w:rPr>
            </w:pPr>
            <w:r w:rsidRPr="009C1E9A">
              <w:rPr>
                <w:b/>
                <w:u w:val="single"/>
              </w:rPr>
              <w:t>EFFECTIVE DATE</w:t>
            </w:r>
            <w:r>
              <w:rPr>
                <w:b/>
              </w:rPr>
              <w:t xml:space="preserve"> </w:t>
            </w:r>
          </w:p>
          <w:p w14:paraId="0122802E" w14:textId="77777777" w:rsidR="008423E4" w:rsidRDefault="008423E4" w:rsidP="001C351F"/>
          <w:p w14:paraId="239C19C3" w14:textId="77777777" w:rsidR="008423E4" w:rsidRPr="003624F2" w:rsidRDefault="00F04BF1" w:rsidP="001C351F">
            <w:pPr>
              <w:pStyle w:val="Header"/>
              <w:tabs>
                <w:tab w:val="clear" w:pos="4320"/>
                <w:tab w:val="clear" w:pos="8640"/>
              </w:tabs>
              <w:jc w:val="both"/>
            </w:pPr>
            <w:r>
              <w:t>September 1, 2021.</w:t>
            </w:r>
          </w:p>
          <w:p w14:paraId="36951865" w14:textId="77777777" w:rsidR="008423E4" w:rsidRPr="00233FDB" w:rsidRDefault="008423E4" w:rsidP="001C351F">
            <w:pPr>
              <w:rPr>
                <w:b/>
              </w:rPr>
            </w:pPr>
          </w:p>
        </w:tc>
      </w:tr>
      <w:tr w:rsidR="008839CF" w14:paraId="4DFF0BF9" w14:textId="77777777" w:rsidTr="00345119">
        <w:tc>
          <w:tcPr>
            <w:tcW w:w="9576" w:type="dxa"/>
          </w:tcPr>
          <w:p w14:paraId="0D019B8B" w14:textId="77777777" w:rsidR="004A11B6" w:rsidRDefault="00F04BF1" w:rsidP="004A11B6">
            <w:pPr>
              <w:jc w:val="both"/>
              <w:rPr>
                <w:b/>
                <w:u w:val="single"/>
              </w:rPr>
            </w:pPr>
            <w:r>
              <w:rPr>
                <w:b/>
                <w:u w:val="single"/>
              </w:rPr>
              <w:t>COMPARISON OF ORIGINAL AND SUBSTITUTE</w:t>
            </w:r>
          </w:p>
          <w:p w14:paraId="3786EB56" w14:textId="6930B7A1" w:rsidR="00C50EDA" w:rsidRPr="004A11B6" w:rsidRDefault="00C50EDA" w:rsidP="004A11B6">
            <w:pPr>
              <w:jc w:val="both"/>
              <w:rPr>
                <w:b/>
                <w:u w:val="single"/>
              </w:rPr>
            </w:pPr>
          </w:p>
        </w:tc>
      </w:tr>
      <w:tr w:rsidR="008839CF" w14:paraId="56DDBBA9" w14:textId="77777777" w:rsidTr="00345119">
        <w:tc>
          <w:tcPr>
            <w:tcW w:w="9576" w:type="dxa"/>
          </w:tcPr>
          <w:p w14:paraId="77C45B65" w14:textId="77777777" w:rsidR="00665AB7" w:rsidRDefault="00F04BF1" w:rsidP="00665AB7">
            <w:pPr>
              <w:jc w:val="both"/>
            </w:pPr>
            <w:r>
              <w:t xml:space="preserve">While C.S.H.B. 2116 may differ from the original in minor or nonsubstantive ways, the following </w:t>
            </w:r>
            <w:r>
              <w:t>summarizes the substantial differences between the introduced and committee substitute versions of the bill.</w:t>
            </w:r>
          </w:p>
          <w:p w14:paraId="42F3211C" w14:textId="77777777" w:rsidR="00665AB7" w:rsidRDefault="00665AB7" w:rsidP="00665AB7">
            <w:pPr>
              <w:jc w:val="both"/>
            </w:pPr>
          </w:p>
          <w:p w14:paraId="044A0CE9" w14:textId="77777777" w:rsidR="00665AB7" w:rsidRDefault="00F04BF1" w:rsidP="00665AB7">
            <w:pPr>
              <w:jc w:val="both"/>
            </w:pPr>
            <w:r>
              <w:t>The substitute specifies the following:</w:t>
            </w:r>
          </w:p>
          <w:p w14:paraId="27DE030A" w14:textId="77777777" w:rsidR="00665AB7" w:rsidRDefault="00F04BF1" w:rsidP="00665AB7">
            <w:pPr>
              <w:pStyle w:val="ListParagraph"/>
              <w:numPr>
                <w:ilvl w:val="0"/>
                <w:numId w:val="1"/>
              </w:numPr>
              <w:jc w:val="both"/>
            </w:pPr>
            <w:r>
              <w:t>the bill's provisions apply with respect to construction contracts; and</w:t>
            </w:r>
          </w:p>
          <w:p w14:paraId="0B27598C" w14:textId="77777777" w:rsidR="00665AB7" w:rsidRDefault="00F04BF1" w:rsidP="00665AB7">
            <w:pPr>
              <w:pStyle w:val="ListParagraph"/>
              <w:numPr>
                <w:ilvl w:val="0"/>
                <w:numId w:val="1"/>
              </w:numPr>
              <w:jc w:val="both"/>
            </w:pPr>
            <w:r>
              <w:t xml:space="preserve">the type of claim against which </w:t>
            </w:r>
            <w:r w:rsidRPr="00E85FAC">
              <w:t xml:space="preserve">a </w:t>
            </w:r>
            <w:r w:rsidRPr="00E85FAC">
              <w:t>licensed engineer or registered architect</w:t>
            </w:r>
            <w:r>
              <w:t xml:space="preserve"> would be required to defend a party in a covenant or promise rendered void and unenforceable by the bill is a claim based wholly </w:t>
            </w:r>
            <w:r w:rsidRPr="00E85FAC">
              <w:t>or partly on the negligence of, fault of, or breach of contract by the owner, the own</w:t>
            </w:r>
            <w:r w:rsidRPr="00E85FAC">
              <w:t>er's agent, the owner's employee, or another entity over which the owner exercises control</w:t>
            </w:r>
            <w:r>
              <w:t>.</w:t>
            </w:r>
          </w:p>
          <w:p w14:paraId="7FA30B33" w14:textId="77777777" w:rsidR="00665AB7" w:rsidRDefault="00665AB7" w:rsidP="00665AB7">
            <w:pPr>
              <w:jc w:val="both"/>
            </w:pPr>
          </w:p>
          <w:p w14:paraId="2CF19E56" w14:textId="77777777" w:rsidR="00665AB7" w:rsidRDefault="00F04BF1" w:rsidP="00665AB7">
            <w:pPr>
              <w:jc w:val="both"/>
            </w:pPr>
            <w:r>
              <w:t>The substitute does the following with respect to the engineer's or architect's standard of care established by the bill:</w:t>
            </w:r>
          </w:p>
          <w:p w14:paraId="4C5417FE" w14:textId="77777777" w:rsidR="00665AB7" w:rsidRDefault="00F04BF1" w:rsidP="00665AB7">
            <w:pPr>
              <w:pStyle w:val="ListParagraph"/>
              <w:numPr>
                <w:ilvl w:val="0"/>
                <w:numId w:val="2"/>
              </w:numPr>
              <w:jc w:val="both"/>
            </w:pPr>
            <w:r>
              <w:t>clarifies the contracts to which the stan</w:t>
            </w:r>
            <w:r>
              <w:t>dard of care applies;</w:t>
            </w:r>
          </w:p>
          <w:p w14:paraId="51294171" w14:textId="77777777" w:rsidR="00665AB7" w:rsidRDefault="00F04BF1" w:rsidP="00665AB7">
            <w:pPr>
              <w:pStyle w:val="ListParagraph"/>
              <w:numPr>
                <w:ilvl w:val="0"/>
                <w:numId w:val="2"/>
              </w:numPr>
              <w:jc w:val="both"/>
            </w:pPr>
            <w:r>
              <w:t xml:space="preserve">renders </w:t>
            </w:r>
            <w:r w:rsidRPr="00532A54">
              <w:t>void and unenforceable a provision of a contract that establishes a</w:t>
            </w:r>
            <w:r>
              <w:t xml:space="preserve"> different</w:t>
            </w:r>
            <w:r w:rsidRPr="00532A54">
              <w:t xml:space="preserve"> standard of care</w:t>
            </w:r>
            <w:r>
              <w:t xml:space="preserve"> for </w:t>
            </w:r>
            <w:r w:rsidRPr="00532A54">
              <w:t>architectural or engineering services</w:t>
            </w:r>
            <w:r>
              <w:t xml:space="preserve"> and establishes that the bill's standard of care instead applies to the contract; and</w:t>
            </w:r>
          </w:p>
          <w:p w14:paraId="36C0618B" w14:textId="77777777" w:rsidR="00665AB7" w:rsidRDefault="00F04BF1" w:rsidP="00665AB7">
            <w:pPr>
              <w:pStyle w:val="ListParagraph"/>
              <w:numPr>
                <w:ilvl w:val="0"/>
                <w:numId w:val="2"/>
              </w:numPr>
              <w:jc w:val="both"/>
            </w:pPr>
            <w:r>
              <w:t xml:space="preserve">specifies </w:t>
            </w:r>
            <w:r w:rsidRPr="00532A54">
              <w:t xml:space="preserve">that the applicability of the standard of care is not limited by </w:t>
            </w:r>
            <w:r>
              <w:t xml:space="preserve">a </w:t>
            </w:r>
            <w:r w:rsidRPr="00532A54">
              <w:t>certain</w:t>
            </w:r>
            <w:r>
              <w:t xml:space="preserve"> </w:t>
            </w:r>
            <w:r w:rsidRPr="00532A54">
              <w:t>exemption for an owner</w:t>
            </w:r>
            <w:r>
              <w:t xml:space="preserve"> of interest in real property. </w:t>
            </w:r>
          </w:p>
          <w:p w14:paraId="05097518" w14:textId="77777777" w:rsidR="00A160A5" w:rsidRPr="009C1E9A" w:rsidRDefault="00A160A5" w:rsidP="001C351F">
            <w:pPr>
              <w:rPr>
                <w:b/>
                <w:u w:val="single"/>
              </w:rPr>
            </w:pPr>
          </w:p>
        </w:tc>
      </w:tr>
      <w:tr w:rsidR="008839CF" w14:paraId="4B74A73A" w14:textId="77777777" w:rsidTr="00345119">
        <w:tc>
          <w:tcPr>
            <w:tcW w:w="9576" w:type="dxa"/>
          </w:tcPr>
          <w:p w14:paraId="46266EC7" w14:textId="77777777" w:rsidR="00A160A5" w:rsidRPr="004A11B6" w:rsidRDefault="00A160A5" w:rsidP="004A11B6">
            <w:pPr>
              <w:spacing w:line="480" w:lineRule="auto"/>
              <w:jc w:val="both"/>
            </w:pPr>
          </w:p>
        </w:tc>
      </w:tr>
      <w:tr w:rsidR="008839CF" w14:paraId="0E371AB2" w14:textId="77777777" w:rsidTr="00345119">
        <w:tc>
          <w:tcPr>
            <w:tcW w:w="9576" w:type="dxa"/>
          </w:tcPr>
          <w:p w14:paraId="4F4B137A" w14:textId="77777777" w:rsidR="004A11B6" w:rsidRPr="00A160A5" w:rsidRDefault="004A11B6" w:rsidP="001C351F">
            <w:pPr>
              <w:jc w:val="both"/>
            </w:pPr>
          </w:p>
        </w:tc>
      </w:tr>
      <w:tr w:rsidR="008839CF" w14:paraId="212E3922" w14:textId="77777777" w:rsidTr="00345119">
        <w:tc>
          <w:tcPr>
            <w:tcW w:w="9576" w:type="dxa"/>
          </w:tcPr>
          <w:p w14:paraId="5035208A" w14:textId="77777777" w:rsidR="004A11B6" w:rsidRPr="00A160A5" w:rsidRDefault="004A11B6" w:rsidP="001C351F">
            <w:pPr>
              <w:jc w:val="both"/>
            </w:pPr>
          </w:p>
        </w:tc>
      </w:tr>
      <w:tr w:rsidR="008839CF" w14:paraId="75F19023" w14:textId="77777777" w:rsidTr="00345119">
        <w:tc>
          <w:tcPr>
            <w:tcW w:w="9576" w:type="dxa"/>
          </w:tcPr>
          <w:p w14:paraId="4A81F06E" w14:textId="77777777" w:rsidR="004A11B6" w:rsidRPr="00A160A5" w:rsidRDefault="004A11B6" w:rsidP="001C351F">
            <w:pPr>
              <w:jc w:val="both"/>
            </w:pPr>
          </w:p>
        </w:tc>
      </w:tr>
    </w:tbl>
    <w:p w14:paraId="71AB04E7" w14:textId="77777777" w:rsidR="008423E4" w:rsidRPr="00BE0E75" w:rsidRDefault="008423E4" w:rsidP="001C351F">
      <w:pPr>
        <w:jc w:val="both"/>
        <w:rPr>
          <w:rFonts w:ascii="Arial" w:hAnsi="Arial"/>
          <w:sz w:val="16"/>
          <w:szCs w:val="16"/>
        </w:rPr>
      </w:pPr>
    </w:p>
    <w:p w14:paraId="48E816EA" w14:textId="77777777" w:rsidR="004108C3" w:rsidRPr="008423E4" w:rsidRDefault="004108C3" w:rsidP="001C351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B55A" w14:textId="77777777" w:rsidR="00000000" w:rsidRDefault="00F04BF1">
      <w:r>
        <w:separator/>
      </w:r>
    </w:p>
  </w:endnote>
  <w:endnote w:type="continuationSeparator" w:id="0">
    <w:p w14:paraId="061618CD" w14:textId="77777777" w:rsidR="00000000" w:rsidRDefault="00F0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0F4" w14:textId="77777777" w:rsidR="00F3659F" w:rsidRDefault="00F3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839CF" w14:paraId="2C2638C4" w14:textId="77777777" w:rsidTr="009C1E9A">
      <w:trPr>
        <w:cantSplit/>
      </w:trPr>
      <w:tc>
        <w:tcPr>
          <w:tcW w:w="0" w:type="pct"/>
        </w:tcPr>
        <w:p w14:paraId="2413199D" w14:textId="77777777" w:rsidR="00137D90" w:rsidRDefault="00137D90" w:rsidP="009C1E9A">
          <w:pPr>
            <w:pStyle w:val="Footer"/>
            <w:tabs>
              <w:tab w:val="clear" w:pos="8640"/>
              <w:tab w:val="right" w:pos="9360"/>
            </w:tabs>
          </w:pPr>
        </w:p>
      </w:tc>
      <w:tc>
        <w:tcPr>
          <w:tcW w:w="2395" w:type="pct"/>
        </w:tcPr>
        <w:p w14:paraId="0BCA6C96" w14:textId="77777777" w:rsidR="00137D90" w:rsidRDefault="00137D90" w:rsidP="009C1E9A">
          <w:pPr>
            <w:pStyle w:val="Footer"/>
            <w:tabs>
              <w:tab w:val="clear" w:pos="8640"/>
              <w:tab w:val="right" w:pos="9360"/>
            </w:tabs>
          </w:pPr>
        </w:p>
        <w:p w14:paraId="6FB47415" w14:textId="77777777" w:rsidR="001A4310" w:rsidRDefault="001A4310" w:rsidP="009C1E9A">
          <w:pPr>
            <w:pStyle w:val="Footer"/>
            <w:tabs>
              <w:tab w:val="clear" w:pos="8640"/>
              <w:tab w:val="right" w:pos="9360"/>
            </w:tabs>
          </w:pPr>
        </w:p>
        <w:p w14:paraId="78D62F4E" w14:textId="77777777" w:rsidR="00137D90" w:rsidRDefault="00137D90" w:rsidP="009C1E9A">
          <w:pPr>
            <w:pStyle w:val="Footer"/>
            <w:tabs>
              <w:tab w:val="clear" w:pos="8640"/>
              <w:tab w:val="right" w:pos="9360"/>
            </w:tabs>
          </w:pPr>
        </w:p>
      </w:tc>
      <w:tc>
        <w:tcPr>
          <w:tcW w:w="2453" w:type="pct"/>
        </w:tcPr>
        <w:p w14:paraId="4BE1AFE8" w14:textId="77777777" w:rsidR="00137D90" w:rsidRDefault="00137D90" w:rsidP="009C1E9A">
          <w:pPr>
            <w:pStyle w:val="Footer"/>
            <w:tabs>
              <w:tab w:val="clear" w:pos="8640"/>
              <w:tab w:val="right" w:pos="9360"/>
            </w:tabs>
            <w:jc w:val="right"/>
          </w:pPr>
        </w:p>
      </w:tc>
    </w:tr>
    <w:tr w:rsidR="008839CF" w14:paraId="48BBB1A5" w14:textId="77777777" w:rsidTr="009C1E9A">
      <w:trPr>
        <w:cantSplit/>
      </w:trPr>
      <w:tc>
        <w:tcPr>
          <w:tcW w:w="0" w:type="pct"/>
        </w:tcPr>
        <w:p w14:paraId="515C76BE" w14:textId="77777777" w:rsidR="00EC379B" w:rsidRDefault="00EC379B" w:rsidP="009C1E9A">
          <w:pPr>
            <w:pStyle w:val="Footer"/>
            <w:tabs>
              <w:tab w:val="clear" w:pos="8640"/>
              <w:tab w:val="right" w:pos="9360"/>
            </w:tabs>
          </w:pPr>
        </w:p>
      </w:tc>
      <w:tc>
        <w:tcPr>
          <w:tcW w:w="2395" w:type="pct"/>
        </w:tcPr>
        <w:p w14:paraId="6344320F" w14:textId="21CE93FA" w:rsidR="00EC379B" w:rsidRPr="009C1E9A" w:rsidRDefault="00F04BF1" w:rsidP="009C1E9A">
          <w:pPr>
            <w:pStyle w:val="Footer"/>
            <w:tabs>
              <w:tab w:val="clear" w:pos="8640"/>
              <w:tab w:val="right" w:pos="9360"/>
            </w:tabs>
            <w:rPr>
              <w:rFonts w:ascii="Shruti" w:hAnsi="Shruti"/>
              <w:sz w:val="22"/>
            </w:rPr>
          </w:pPr>
          <w:r>
            <w:rPr>
              <w:rFonts w:ascii="Shruti" w:hAnsi="Shruti"/>
              <w:sz w:val="22"/>
            </w:rPr>
            <w:t>87R 19603</w:t>
          </w:r>
        </w:p>
      </w:tc>
      <w:tc>
        <w:tcPr>
          <w:tcW w:w="2453" w:type="pct"/>
        </w:tcPr>
        <w:p w14:paraId="4A415DE3" w14:textId="41BD0C0F" w:rsidR="00EC379B" w:rsidRDefault="00F04BF1" w:rsidP="009C1E9A">
          <w:pPr>
            <w:pStyle w:val="Footer"/>
            <w:tabs>
              <w:tab w:val="clear" w:pos="8640"/>
              <w:tab w:val="right" w:pos="9360"/>
            </w:tabs>
            <w:jc w:val="right"/>
          </w:pPr>
          <w:r>
            <w:fldChar w:fldCharType="begin"/>
          </w:r>
          <w:r>
            <w:instrText xml:space="preserve"> DOCPROPERTY  OTID  \* MERGEFORMAT </w:instrText>
          </w:r>
          <w:r>
            <w:fldChar w:fldCharType="separate"/>
          </w:r>
          <w:r w:rsidR="0054631B">
            <w:t>21.101.583</w:t>
          </w:r>
          <w:r>
            <w:fldChar w:fldCharType="end"/>
          </w:r>
        </w:p>
      </w:tc>
    </w:tr>
    <w:tr w:rsidR="008839CF" w14:paraId="0E17314F" w14:textId="77777777" w:rsidTr="009C1E9A">
      <w:trPr>
        <w:cantSplit/>
      </w:trPr>
      <w:tc>
        <w:tcPr>
          <w:tcW w:w="0" w:type="pct"/>
        </w:tcPr>
        <w:p w14:paraId="639ADB29" w14:textId="77777777" w:rsidR="00EC379B" w:rsidRDefault="00EC379B" w:rsidP="009C1E9A">
          <w:pPr>
            <w:pStyle w:val="Footer"/>
            <w:tabs>
              <w:tab w:val="clear" w:pos="4320"/>
              <w:tab w:val="clear" w:pos="8640"/>
              <w:tab w:val="left" w:pos="2865"/>
            </w:tabs>
          </w:pPr>
        </w:p>
      </w:tc>
      <w:tc>
        <w:tcPr>
          <w:tcW w:w="2395" w:type="pct"/>
        </w:tcPr>
        <w:p w14:paraId="46D69407" w14:textId="67B19481" w:rsidR="00EC379B" w:rsidRPr="009C1E9A" w:rsidRDefault="00F04BF1" w:rsidP="009C1E9A">
          <w:pPr>
            <w:pStyle w:val="Footer"/>
            <w:tabs>
              <w:tab w:val="clear" w:pos="4320"/>
              <w:tab w:val="clear" w:pos="8640"/>
              <w:tab w:val="left" w:pos="2865"/>
            </w:tabs>
            <w:rPr>
              <w:rFonts w:ascii="Shruti" w:hAnsi="Shruti"/>
              <w:sz w:val="22"/>
            </w:rPr>
          </w:pPr>
          <w:r>
            <w:rPr>
              <w:rFonts w:ascii="Shruti" w:hAnsi="Shruti"/>
              <w:sz w:val="22"/>
            </w:rPr>
            <w:t>Substitute Document Number: 87R 17665</w:t>
          </w:r>
        </w:p>
      </w:tc>
      <w:tc>
        <w:tcPr>
          <w:tcW w:w="2453" w:type="pct"/>
        </w:tcPr>
        <w:p w14:paraId="30F9AC1B" w14:textId="77777777" w:rsidR="00EC379B" w:rsidRDefault="00EC379B" w:rsidP="006D504F">
          <w:pPr>
            <w:pStyle w:val="Footer"/>
            <w:rPr>
              <w:rStyle w:val="PageNumber"/>
            </w:rPr>
          </w:pPr>
        </w:p>
        <w:p w14:paraId="754C604C" w14:textId="77777777" w:rsidR="00EC379B" w:rsidRDefault="00EC379B" w:rsidP="009C1E9A">
          <w:pPr>
            <w:pStyle w:val="Footer"/>
            <w:tabs>
              <w:tab w:val="clear" w:pos="8640"/>
              <w:tab w:val="right" w:pos="9360"/>
            </w:tabs>
            <w:jc w:val="right"/>
          </w:pPr>
        </w:p>
      </w:tc>
    </w:tr>
    <w:tr w:rsidR="008839CF" w14:paraId="3F6AAC94" w14:textId="77777777" w:rsidTr="009C1E9A">
      <w:trPr>
        <w:cantSplit/>
        <w:trHeight w:val="323"/>
      </w:trPr>
      <w:tc>
        <w:tcPr>
          <w:tcW w:w="0" w:type="pct"/>
          <w:gridSpan w:val="3"/>
        </w:tcPr>
        <w:p w14:paraId="2ACB542E" w14:textId="245CF780" w:rsidR="00EC379B" w:rsidRDefault="00F04BF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4631B">
            <w:rPr>
              <w:rStyle w:val="PageNumber"/>
              <w:noProof/>
            </w:rPr>
            <w:t>2</w:t>
          </w:r>
          <w:r>
            <w:rPr>
              <w:rStyle w:val="PageNumber"/>
            </w:rPr>
            <w:fldChar w:fldCharType="end"/>
          </w:r>
        </w:p>
        <w:p w14:paraId="55693031" w14:textId="77777777" w:rsidR="00EC379B" w:rsidRDefault="00EC379B" w:rsidP="009C1E9A">
          <w:pPr>
            <w:pStyle w:val="Footer"/>
            <w:tabs>
              <w:tab w:val="clear" w:pos="8640"/>
              <w:tab w:val="right" w:pos="9360"/>
            </w:tabs>
            <w:jc w:val="center"/>
          </w:pPr>
        </w:p>
      </w:tc>
    </w:tr>
  </w:tbl>
  <w:p w14:paraId="7A6B8F5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227A" w14:textId="77777777" w:rsidR="00F3659F" w:rsidRDefault="00F3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DB691" w14:textId="77777777" w:rsidR="00000000" w:rsidRDefault="00F04BF1">
      <w:r>
        <w:separator/>
      </w:r>
    </w:p>
  </w:footnote>
  <w:footnote w:type="continuationSeparator" w:id="0">
    <w:p w14:paraId="12A90574" w14:textId="77777777" w:rsidR="00000000" w:rsidRDefault="00F0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1C6B" w14:textId="77777777" w:rsidR="00F3659F" w:rsidRDefault="00F3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021C" w14:textId="77777777" w:rsidR="00F3659F" w:rsidRDefault="00F3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D480" w14:textId="77777777" w:rsidR="00F3659F" w:rsidRDefault="00F3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8A3"/>
    <w:multiLevelType w:val="hybridMultilevel"/>
    <w:tmpl w:val="AA843C6C"/>
    <w:lvl w:ilvl="0" w:tplc="FA94AA84">
      <w:start w:val="1"/>
      <w:numFmt w:val="bullet"/>
      <w:lvlText w:val=""/>
      <w:lvlJc w:val="left"/>
      <w:pPr>
        <w:tabs>
          <w:tab w:val="num" w:pos="720"/>
        </w:tabs>
        <w:ind w:left="720" w:hanging="360"/>
      </w:pPr>
      <w:rPr>
        <w:rFonts w:ascii="Symbol" w:hAnsi="Symbol" w:hint="default"/>
      </w:rPr>
    </w:lvl>
    <w:lvl w:ilvl="1" w:tplc="3432C19E" w:tentative="1">
      <w:start w:val="1"/>
      <w:numFmt w:val="bullet"/>
      <w:lvlText w:val="o"/>
      <w:lvlJc w:val="left"/>
      <w:pPr>
        <w:ind w:left="1440" w:hanging="360"/>
      </w:pPr>
      <w:rPr>
        <w:rFonts w:ascii="Courier New" w:hAnsi="Courier New" w:cs="Courier New" w:hint="default"/>
      </w:rPr>
    </w:lvl>
    <w:lvl w:ilvl="2" w:tplc="7658AEFA" w:tentative="1">
      <w:start w:val="1"/>
      <w:numFmt w:val="bullet"/>
      <w:lvlText w:val=""/>
      <w:lvlJc w:val="left"/>
      <w:pPr>
        <w:ind w:left="2160" w:hanging="360"/>
      </w:pPr>
      <w:rPr>
        <w:rFonts w:ascii="Wingdings" w:hAnsi="Wingdings" w:hint="default"/>
      </w:rPr>
    </w:lvl>
    <w:lvl w:ilvl="3" w:tplc="596884CE" w:tentative="1">
      <w:start w:val="1"/>
      <w:numFmt w:val="bullet"/>
      <w:lvlText w:val=""/>
      <w:lvlJc w:val="left"/>
      <w:pPr>
        <w:ind w:left="2880" w:hanging="360"/>
      </w:pPr>
      <w:rPr>
        <w:rFonts w:ascii="Symbol" w:hAnsi="Symbol" w:hint="default"/>
      </w:rPr>
    </w:lvl>
    <w:lvl w:ilvl="4" w:tplc="4F840AD0" w:tentative="1">
      <w:start w:val="1"/>
      <w:numFmt w:val="bullet"/>
      <w:lvlText w:val="o"/>
      <w:lvlJc w:val="left"/>
      <w:pPr>
        <w:ind w:left="3600" w:hanging="360"/>
      </w:pPr>
      <w:rPr>
        <w:rFonts w:ascii="Courier New" w:hAnsi="Courier New" w:cs="Courier New" w:hint="default"/>
      </w:rPr>
    </w:lvl>
    <w:lvl w:ilvl="5" w:tplc="3984F1AA" w:tentative="1">
      <w:start w:val="1"/>
      <w:numFmt w:val="bullet"/>
      <w:lvlText w:val=""/>
      <w:lvlJc w:val="left"/>
      <w:pPr>
        <w:ind w:left="4320" w:hanging="360"/>
      </w:pPr>
      <w:rPr>
        <w:rFonts w:ascii="Wingdings" w:hAnsi="Wingdings" w:hint="default"/>
      </w:rPr>
    </w:lvl>
    <w:lvl w:ilvl="6" w:tplc="A9B05446" w:tentative="1">
      <w:start w:val="1"/>
      <w:numFmt w:val="bullet"/>
      <w:lvlText w:val=""/>
      <w:lvlJc w:val="left"/>
      <w:pPr>
        <w:ind w:left="5040" w:hanging="360"/>
      </w:pPr>
      <w:rPr>
        <w:rFonts w:ascii="Symbol" w:hAnsi="Symbol" w:hint="default"/>
      </w:rPr>
    </w:lvl>
    <w:lvl w:ilvl="7" w:tplc="706083B4" w:tentative="1">
      <w:start w:val="1"/>
      <w:numFmt w:val="bullet"/>
      <w:lvlText w:val="o"/>
      <w:lvlJc w:val="left"/>
      <w:pPr>
        <w:ind w:left="5760" w:hanging="360"/>
      </w:pPr>
      <w:rPr>
        <w:rFonts w:ascii="Courier New" w:hAnsi="Courier New" w:cs="Courier New" w:hint="default"/>
      </w:rPr>
    </w:lvl>
    <w:lvl w:ilvl="8" w:tplc="2C20259A" w:tentative="1">
      <w:start w:val="1"/>
      <w:numFmt w:val="bullet"/>
      <w:lvlText w:val=""/>
      <w:lvlJc w:val="left"/>
      <w:pPr>
        <w:ind w:left="6480" w:hanging="360"/>
      </w:pPr>
      <w:rPr>
        <w:rFonts w:ascii="Wingdings" w:hAnsi="Wingdings" w:hint="default"/>
      </w:rPr>
    </w:lvl>
  </w:abstractNum>
  <w:abstractNum w:abstractNumId="1" w15:restartNumberingAfterBreak="0">
    <w:nsid w:val="6A2B3227"/>
    <w:multiLevelType w:val="hybridMultilevel"/>
    <w:tmpl w:val="8F2856EE"/>
    <w:lvl w:ilvl="0" w:tplc="57DA988A">
      <w:start w:val="1"/>
      <w:numFmt w:val="bullet"/>
      <w:lvlText w:val=""/>
      <w:lvlJc w:val="left"/>
      <w:pPr>
        <w:tabs>
          <w:tab w:val="num" w:pos="720"/>
        </w:tabs>
        <w:ind w:left="720" w:hanging="360"/>
      </w:pPr>
      <w:rPr>
        <w:rFonts w:ascii="Symbol" w:hAnsi="Symbol" w:hint="default"/>
      </w:rPr>
    </w:lvl>
    <w:lvl w:ilvl="1" w:tplc="8AE271B4" w:tentative="1">
      <w:start w:val="1"/>
      <w:numFmt w:val="bullet"/>
      <w:lvlText w:val="o"/>
      <w:lvlJc w:val="left"/>
      <w:pPr>
        <w:ind w:left="1440" w:hanging="360"/>
      </w:pPr>
      <w:rPr>
        <w:rFonts w:ascii="Courier New" w:hAnsi="Courier New" w:cs="Courier New" w:hint="default"/>
      </w:rPr>
    </w:lvl>
    <w:lvl w:ilvl="2" w:tplc="9C96B47E" w:tentative="1">
      <w:start w:val="1"/>
      <w:numFmt w:val="bullet"/>
      <w:lvlText w:val=""/>
      <w:lvlJc w:val="left"/>
      <w:pPr>
        <w:ind w:left="2160" w:hanging="360"/>
      </w:pPr>
      <w:rPr>
        <w:rFonts w:ascii="Wingdings" w:hAnsi="Wingdings" w:hint="default"/>
      </w:rPr>
    </w:lvl>
    <w:lvl w:ilvl="3" w:tplc="C0621A92" w:tentative="1">
      <w:start w:val="1"/>
      <w:numFmt w:val="bullet"/>
      <w:lvlText w:val=""/>
      <w:lvlJc w:val="left"/>
      <w:pPr>
        <w:ind w:left="2880" w:hanging="360"/>
      </w:pPr>
      <w:rPr>
        <w:rFonts w:ascii="Symbol" w:hAnsi="Symbol" w:hint="default"/>
      </w:rPr>
    </w:lvl>
    <w:lvl w:ilvl="4" w:tplc="AE08EB42" w:tentative="1">
      <w:start w:val="1"/>
      <w:numFmt w:val="bullet"/>
      <w:lvlText w:val="o"/>
      <w:lvlJc w:val="left"/>
      <w:pPr>
        <w:ind w:left="3600" w:hanging="360"/>
      </w:pPr>
      <w:rPr>
        <w:rFonts w:ascii="Courier New" w:hAnsi="Courier New" w:cs="Courier New" w:hint="default"/>
      </w:rPr>
    </w:lvl>
    <w:lvl w:ilvl="5" w:tplc="D8CA3642" w:tentative="1">
      <w:start w:val="1"/>
      <w:numFmt w:val="bullet"/>
      <w:lvlText w:val=""/>
      <w:lvlJc w:val="left"/>
      <w:pPr>
        <w:ind w:left="4320" w:hanging="360"/>
      </w:pPr>
      <w:rPr>
        <w:rFonts w:ascii="Wingdings" w:hAnsi="Wingdings" w:hint="default"/>
      </w:rPr>
    </w:lvl>
    <w:lvl w:ilvl="6" w:tplc="138E75D2" w:tentative="1">
      <w:start w:val="1"/>
      <w:numFmt w:val="bullet"/>
      <w:lvlText w:val=""/>
      <w:lvlJc w:val="left"/>
      <w:pPr>
        <w:ind w:left="5040" w:hanging="360"/>
      </w:pPr>
      <w:rPr>
        <w:rFonts w:ascii="Symbol" w:hAnsi="Symbol" w:hint="default"/>
      </w:rPr>
    </w:lvl>
    <w:lvl w:ilvl="7" w:tplc="6CA0B922" w:tentative="1">
      <w:start w:val="1"/>
      <w:numFmt w:val="bullet"/>
      <w:lvlText w:val="o"/>
      <w:lvlJc w:val="left"/>
      <w:pPr>
        <w:ind w:left="5760" w:hanging="360"/>
      </w:pPr>
      <w:rPr>
        <w:rFonts w:ascii="Courier New" w:hAnsi="Courier New" w:cs="Courier New" w:hint="default"/>
      </w:rPr>
    </w:lvl>
    <w:lvl w:ilvl="8" w:tplc="F8EE8A1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9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49C"/>
    <w:rsid w:val="00043B84"/>
    <w:rsid w:val="0004512B"/>
    <w:rsid w:val="000463F0"/>
    <w:rsid w:val="00046BDA"/>
    <w:rsid w:val="0004762E"/>
    <w:rsid w:val="00051F2A"/>
    <w:rsid w:val="000522BD"/>
    <w:rsid w:val="000532BD"/>
    <w:rsid w:val="00055C12"/>
    <w:rsid w:val="000608B0"/>
    <w:rsid w:val="0006104C"/>
    <w:rsid w:val="000648C7"/>
    <w:rsid w:val="00064BF2"/>
    <w:rsid w:val="000667BA"/>
    <w:rsid w:val="000676A7"/>
    <w:rsid w:val="00073914"/>
    <w:rsid w:val="00074236"/>
    <w:rsid w:val="000746BD"/>
    <w:rsid w:val="00076D7D"/>
    <w:rsid w:val="00080D95"/>
    <w:rsid w:val="00090E6B"/>
    <w:rsid w:val="00091B2C"/>
    <w:rsid w:val="00092ABC"/>
    <w:rsid w:val="00097AAF"/>
    <w:rsid w:val="00097D13"/>
    <w:rsid w:val="000A3677"/>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25FF"/>
    <w:rsid w:val="0012371B"/>
    <w:rsid w:val="001245C8"/>
    <w:rsid w:val="00124653"/>
    <w:rsid w:val="001247C5"/>
    <w:rsid w:val="00126D03"/>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351F"/>
    <w:rsid w:val="001C60B5"/>
    <w:rsid w:val="001C61B0"/>
    <w:rsid w:val="001C7957"/>
    <w:rsid w:val="001C7DB8"/>
    <w:rsid w:val="001C7EA8"/>
    <w:rsid w:val="001D1711"/>
    <w:rsid w:val="001D2A01"/>
    <w:rsid w:val="001D2EF6"/>
    <w:rsid w:val="001D37A8"/>
    <w:rsid w:val="001D462E"/>
    <w:rsid w:val="001D7B3C"/>
    <w:rsid w:val="001E2CAD"/>
    <w:rsid w:val="001E34DB"/>
    <w:rsid w:val="001E37CD"/>
    <w:rsid w:val="001E4070"/>
    <w:rsid w:val="001E655E"/>
    <w:rsid w:val="001F3753"/>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67842"/>
    <w:rsid w:val="002710C3"/>
    <w:rsid w:val="002734D6"/>
    <w:rsid w:val="00274A45"/>
    <w:rsid w:val="00274C45"/>
    <w:rsid w:val="00275109"/>
    <w:rsid w:val="00275BEE"/>
    <w:rsid w:val="00277434"/>
    <w:rsid w:val="00280123"/>
    <w:rsid w:val="00281343"/>
    <w:rsid w:val="00281883"/>
    <w:rsid w:val="002874E3"/>
    <w:rsid w:val="00287656"/>
    <w:rsid w:val="00291429"/>
    <w:rsid w:val="00291518"/>
    <w:rsid w:val="00292A49"/>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217A"/>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603"/>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71A2"/>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2635"/>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2BE"/>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5976"/>
    <w:rsid w:val="00447018"/>
    <w:rsid w:val="00450561"/>
    <w:rsid w:val="00450A40"/>
    <w:rsid w:val="00451D7C"/>
    <w:rsid w:val="00452FC3"/>
    <w:rsid w:val="00455936"/>
    <w:rsid w:val="00455ACE"/>
    <w:rsid w:val="00461B69"/>
    <w:rsid w:val="00462B3D"/>
    <w:rsid w:val="00474927"/>
    <w:rsid w:val="00475913"/>
    <w:rsid w:val="00480080"/>
    <w:rsid w:val="004824A7"/>
    <w:rsid w:val="00482B9E"/>
    <w:rsid w:val="00483AF0"/>
    <w:rsid w:val="00484167"/>
    <w:rsid w:val="00492211"/>
    <w:rsid w:val="00492325"/>
    <w:rsid w:val="00492A6D"/>
    <w:rsid w:val="00494303"/>
    <w:rsid w:val="0049682B"/>
    <w:rsid w:val="004A03F7"/>
    <w:rsid w:val="004A081C"/>
    <w:rsid w:val="004A11B6"/>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54A"/>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1A43"/>
    <w:rsid w:val="0051324D"/>
    <w:rsid w:val="00515466"/>
    <w:rsid w:val="005154F7"/>
    <w:rsid w:val="005159DE"/>
    <w:rsid w:val="005269CE"/>
    <w:rsid w:val="005304B2"/>
    <w:rsid w:val="00532A54"/>
    <w:rsid w:val="005336BD"/>
    <w:rsid w:val="00534A49"/>
    <w:rsid w:val="005363BB"/>
    <w:rsid w:val="005411D0"/>
    <w:rsid w:val="00541B98"/>
    <w:rsid w:val="00543374"/>
    <w:rsid w:val="00545548"/>
    <w:rsid w:val="0054631B"/>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5AB7"/>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16BC"/>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24D9"/>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175CC"/>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39CF"/>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B7B3A"/>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2FF9"/>
    <w:rsid w:val="009337AD"/>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74B7"/>
    <w:rsid w:val="009A1883"/>
    <w:rsid w:val="009A39F5"/>
    <w:rsid w:val="009A4588"/>
    <w:rsid w:val="009A5EA5"/>
    <w:rsid w:val="009B00C2"/>
    <w:rsid w:val="009B0714"/>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FD4"/>
    <w:rsid w:val="009D2463"/>
    <w:rsid w:val="009D37C7"/>
    <w:rsid w:val="009D4BBD"/>
    <w:rsid w:val="009D5A41"/>
    <w:rsid w:val="009D6E23"/>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445E"/>
    <w:rsid w:val="00A07689"/>
    <w:rsid w:val="00A07906"/>
    <w:rsid w:val="00A10908"/>
    <w:rsid w:val="00A12330"/>
    <w:rsid w:val="00A1259F"/>
    <w:rsid w:val="00A1446F"/>
    <w:rsid w:val="00A151B5"/>
    <w:rsid w:val="00A160A5"/>
    <w:rsid w:val="00A220FF"/>
    <w:rsid w:val="00A227E0"/>
    <w:rsid w:val="00A232E4"/>
    <w:rsid w:val="00A24AAD"/>
    <w:rsid w:val="00A26A8A"/>
    <w:rsid w:val="00A27255"/>
    <w:rsid w:val="00A32304"/>
    <w:rsid w:val="00A3420E"/>
    <w:rsid w:val="00A35D66"/>
    <w:rsid w:val="00A362FB"/>
    <w:rsid w:val="00A41085"/>
    <w:rsid w:val="00A425FA"/>
    <w:rsid w:val="00A43960"/>
    <w:rsid w:val="00A44E50"/>
    <w:rsid w:val="00A46902"/>
    <w:rsid w:val="00A47EDD"/>
    <w:rsid w:val="00A50CDB"/>
    <w:rsid w:val="00A51F3E"/>
    <w:rsid w:val="00A5364B"/>
    <w:rsid w:val="00A54142"/>
    <w:rsid w:val="00A54C42"/>
    <w:rsid w:val="00A572B1"/>
    <w:rsid w:val="00A5746B"/>
    <w:rsid w:val="00A577AF"/>
    <w:rsid w:val="00A60177"/>
    <w:rsid w:val="00A61C27"/>
    <w:rsid w:val="00A6344D"/>
    <w:rsid w:val="00A644B8"/>
    <w:rsid w:val="00A67B1F"/>
    <w:rsid w:val="00A70E35"/>
    <w:rsid w:val="00A720DC"/>
    <w:rsid w:val="00A803CF"/>
    <w:rsid w:val="00A80C6C"/>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0664"/>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0881"/>
    <w:rsid w:val="00BB14D7"/>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49AA"/>
    <w:rsid w:val="00C2766F"/>
    <w:rsid w:val="00C30920"/>
    <w:rsid w:val="00C3223B"/>
    <w:rsid w:val="00C333C6"/>
    <w:rsid w:val="00C35CC5"/>
    <w:rsid w:val="00C361C5"/>
    <w:rsid w:val="00C377D1"/>
    <w:rsid w:val="00C37BDA"/>
    <w:rsid w:val="00C37C84"/>
    <w:rsid w:val="00C413FE"/>
    <w:rsid w:val="00C42B41"/>
    <w:rsid w:val="00C46166"/>
    <w:rsid w:val="00C4710D"/>
    <w:rsid w:val="00C50CAD"/>
    <w:rsid w:val="00C50EDA"/>
    <w:rsid w:val="00C57933"/>
    <w:rsid w:val="00C57F39"/>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62CD"/>
    <w:rsid w:val="00CD731C"/>
    <w:rsid w:val="00CE08E8"/>
    <w:rsid w:val="00CE2133"/>
    <w:rsid w:val="00CE245D"/>
    <w:rsid w:val="00CE300F"/>
    <w:rsid w:val="00CE3582"/>
    <w:rsid w:val="00CE3795"/>
    <w:rsid w:val="00CE3E20"/>
    <w:rsid w:val="00CF4827"/>
    <w:rsid w:val="00CF4C69"/>
    <w:rsid w:val="00CF581C"/>
    <w:rsid w:val="00CF71E0"/>
    <w:rsid w:val="00D001B1"/>
    <w:rsid w:val="00D0303A"/>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1D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C79AA"/>
    <w:rsid w:val="00DD0022"/>
    <w:rsid w:val="00DD073C"/>
    <w:rsid w:val="00DD128C"/>
    <w:rsid w:val="00DD1B8F"/>
    <w:rsid w:val="00DD5BCC"/>
    <w:rsid w:val="00DD7509"/>
    <w:rsid w:val="00DD79C7"/>
    <w:rsid w:val="00DD7D6E"/>
    <w:rsid w:val="00DE34B2"/>
    <w:rsid w:val="00DE49DE"/>
    <w:rsid w:val="00DE618B"/>
    <w:rsid w:val="00DE6EC2"/>
    <w:rsid w:val="00DE7159"/>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B64"/>
    <w:rsid w:val="00E06C5E"/>
    <w:rsid w:val="00E0752B"/>
    <w:rsid w:val="00E1228E"/>
    <w:rsid w:val="00E13374"/>
    <w:rsid w:val="00E14079"/>
    <w:rsid w:val="00E15F90"/>
    <w:rsid w:val="00E16398"/>
    <w:rsid w:val="00E16D3E"/>
    <w:rsid w:val="00E17167"/>
    <w:rsid w:val="00E20520"/>
    <w:rsid w:val="00E21D55"/>
    <w:rsid w:val="00E21FDC"/>
    <w:rsid w:val="00E2551E"/>
    <w:rsid w:val="00E26B13"/>
    <w:rsid w:val="00E27E5A"/>
    <w:rsid w:val="00E31135"/>
    <w:rsid w:val="00E317BA"/>
    <w:rsid w:val="00E3469B"/>
    <w:rsid w:val="00E36255"/>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5FAC"/>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548"/>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4BF1"/>
    <w:rsid w:val="00F05397"/>
    <w:rsid w:val="00F0638C"/>
    <w:rsid w:val="00F11E04"/>
    <w:rsid w:val="00F124EF"/>
    <w:rsid w:val="00F12B24"/>
    <w:rsid w:val="00F12BC7"/>
    <w:rsid w:val="00F15223"/>
    <w:rsid w:val="00F164B4"/>
    <w:rsid w:val="00F176E4"/>
    <w:rsid w:val="00F20E5F"/>
    <w:rsid w:val="00F25CC2"/>
    <w:rsid w:val="00F27573"/>
    <w:rsid w:val="00F31876"/>
    <w:rsid w:val="00F31C67"/>
    <w:rsid w:val="00F3659F"/>
    <w:rsid w:val="00F36FE0"/>
    <w:rsid w:val="00F37EA8"/>
    <w:rsid w:val="00F40B14"/>
    <w:rsid w:val="00F41186"/>
    <w:rsid w:val="00F41EEF"/>
    <w:rsid w:val="00F41FAC"/>
    <w:rsid w:val="00F423D3"/>
    <w:rsid w:val="00F44349"/>
    <w:rsid w:val="00F4569E"/>
    <w:rsid w:val="00F45AFC"/>
    <w:rsid w:val="00F462F4"/>
    <w:rsid w:val="00F50130"/>
    <w:rsid w:val="00F5091B"/>
    <w:rsid w:val="00F52402"/>
    <w:rsid w:val="00F5605D"/>
    <w:rsid w:val="00F6514B"/>
    <w:rsid w:val="00F6587F"/>
    <w:rsid w:val="00F67981"/>
    <w:rsid w:val="00F706CA"/>
    <w:rsid w:val="00F70F8D"/>
    <w:rsid w:val="00F71C5A"/>
    <w:rsid w:val="00F71E0D"/>
    <w:rsid w:val="00F733A4"/>
    <w:rsid w:val="00F7758F"/>
    <w:rsid w:val="00F82811"/>
    <w:rsid w:val="00F84153"/>
    <w:rsid w:val="00F85661"/>
    <w:rsid w:val="00F96602"/>
    <w:rsid w:val="00F9735A"/>
    <w:rsid w:val="00FA3215"/>
    <w:rsid w:val="00FA32FC"/>
    <w:rsid w:val="00FA59FD"/>
    <w:rsid w:val="00FA5D8C"/>
    <w:rsid w:val="00FA6403"/>
    <w:rsid w:val="00FB16CD"/>
    <w:rsid w:val="00FB73AE"/>
    <w:rsid w:val="00FC10D6"/>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8670BC-6206-4A1D-94D8-7C8C9B2F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A3677"/>
    <w:rPr>
      <w:sz w:val="16"/>
      <w:szCs w:val="16"/>
    </w:rPr>
  </w:style>
  <w:style w:type="paragraph" w:styleId="CommentText">
    <w:name w:val="annotation text"/>
    <w:basedOn w:val="Normal"/>
    <w:link w:val="CommentTextChar"/>
    <w:semiHidden/>
    <w:unhideWhenUsed/>
    <w:rsid w:val="000A3677"/>
    <w:rPr>
      <w:sz w:val="20"/>
      <w:szCs w:val="20"/>
    </w:rPr>
  </w:style>
  <w:style w:type="character" w:customStyle="1" w:styleId="CommentTextChar">
    <w:name w:val="Comment Text Char"/>
    <w:basedOn w:val="DefaultParagraphFont"/>
    <w:link w:val="CommentText"/>
    <w:semiHidden/>
    <w:rsid w:val="000A3677"/>
  </w:style>
  <w:style w:type="paragraph" w:styleId="CommentSubject">
    <w:name w:val="annotation subject"/>
    <w:basedOn w:val="CommentText"/>
    <w:next w:val="CommentText"/>
    <w:link w:val="CommentSubjectChar"/>
    <w:semiHidden/>
    <w:unhideWhenUsed/>
    <w:rsid w:val="000A3677"/>
    <w:rPr>
      <w:b/>
      <w:bCs/>
    </w:rPr>
  </w:style>
  <w:style w:type="character" w:customStyle="1" w:styleId="CommentSubjectChar">
    <w:name w:val="Comment Subject Char"/>
    <w:basedOn w:val="CommentTextChar"/>
    <w:link w:val="CommentSubject"/>
    <w:semiHidden/>
    <w:rsid w:val="000A3677"/>
    <w:rPr>
      <w:b/>
      <w:bCs/>
    </w:rPr>
  </w:style>
  <w:style w:type="paragraph" w:styleId="ListParagraph">
    <w:name w:val="List Paragraph"/>
    <w:basedOn w:val="Normal"/>
    <w:uiPriority w:val="34"/>
    <w:qFormat/>
    <w:rsid w:val="00E85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5204</Characters>
  <Application>Microsoft Office Word</Application>
  <DocSecurity>4</DocSecurity>
  <Lines>109</Lines>
  <Paragraphs>26</Paragraphs>
  <ScaleCrop>false</ScaleCrop>
  <HeadingPairs>
    <vt:vector size="2" baseType="variant">
      <vt:variant>
        <vt:lpstr>Title</vt:lpstr>
      </vt:variant>
      <vt:variant>
        <vt:i4>1</vt:i4>
      </vt:variant>
    </vt:vector>
  </HeadingPairs>
  <TitlesOfParts>
    <vt:vector size="1" baseType="lpstr">
      <vt:lpstr>BA - HB02116 (Committee Report (Substituted))</vt:lpstr>
    </vt:vector>
  </TitlesOfParts>
  <Company>State of Texas</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19603</dc:subject>
  <dc:creator>State of Texas</dc:creator>
  <dc:description>HB 2116 by Krause-(H)Judiciary &amp; Civil Jurisprudence (Substitute Document Number: 87R 17665)</dc:description>
  <cp:lastModifiedBy>Stacey Nicchio</cp:lastModifiedBy>
  <cp:revision>2</cp:revision>
  <cp:lastPrinted>2003-11-26T17:21:00Z</cp:lastPrinted>
  <dcterms:created xsi:type="dcterms:W3CDTF">2021-04-12T21:40:00Z</dcterms:created>
  <dcterms:modified xsi:type="dcterms:W3CDTF">2021-04-12T21:40:00Z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21.101.583</vt:lpwstr>
  </property>
</Properties>
</file>