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A22893" w14:paraId="07A21826" w14:textId="77777777" w:rsidTr="008364C7">
        <w:tc>
          <w:tcPr>
            <w:tcW w:w="9576" w:type="dxa"/>
            <w:noWrap/>
          </w:tcPr>
          <w:p w14:paraId="2C45AA46" w14:textId="77777777" w:rsidR="008423E4" w:rsidRPr="0022177D" w:rsidRDefault="00F25C87" w:rsidP="005053D4">
            <w:pPr>
              <w:pStyle w:val="Heading1"/>
              <w:contextualSpacing/>
            </w:pPr>
            <w:bookmarkStart w:id="0" w:name="_GoBack"/>
            <w:bookmarkEnd w:id="0"/>
            <w:r w:rsidRPr="00631897">
              <w:t>BILL ANALYSIS</w:t>
            </w:r>
          </w:p>
        </w:tc>
      </w:tr>
    </w:tbl>
    <w:p w14:paraId="70851FAD" w14:textId="77777777" w:rsidR="008423E4" w:rsidRPr="0022177D" w:rsidRDefault="008423E4" w:rsidP="005053D4">
      <w:pPr>
        <w:contextualSpacing/>
        <w:jc w:val="center"/>
      </w:pPr>
    </w:p>
    <w:p w14:paraId="3E1D20B1" w14:textId="77777777" w:rsidR="008423E4" w:rsidRPr="00B31F0E" w:rsidRDefault="008423E4" w:rsidP="005053D4">
      <w:pPr>
        <w:contextualSpacing/>
      </w:pPr>
    </w:p>
    <w:p w14:paraId="7E7BEF0D" w14:textId="77777777" w:rsidR="008423E4" w:rsidRPr="00742794" w:rsidRDefault="008423E4" w:rsidP="005053D4">
      <w:pPr>
        <w:tabs>
          <w:tab w:val="right" w:pos="9360"/>
        </w:tabs>
        <w:contextualSpacing/>
      </w:pPr>
    </w:p>
    <w:tbl>
      <w:tblPr>
        <w:tblW w:w="0" w:type="auto"/>
        <w:tblLayout w:type="fixed"/>
        <w:tblLook w:val="01E0" w:firstRow="1" w:lastRow="1" w:firstColumn="1" w:lastColumn="1" w:noHBand="0" w:noVBand="0"/>
      </w:tblPr>
      <w:tblGrid>
        <w:gridCol w:w="9576"/>
      </w:tblGrid>
      <w:tr w:rsidR="00A22893" w14:paraId="4970EE38" w14:textId="77777777" w:rsidTr="008364C7">
        <w:tc>
          <w:tcPr>
            <w:tcW w:w="9576" w:type="dxa"/>
          </w:tcPr>
          <w:p w14:paraId="738ED43C" w14:textId="7A8E68E5" w:rsidR="008423E4" w:rsidRPr="00861995" w:rsidRDefault="00F25C87" w:rsidP="005053D4">
            <w:pPr>
              <w:contextualSpacing/>
              <w:jc w:val="right"/>
            </w:pPr>
            <w:r>
              <w:t>H.B. 2144</w:t>
            </w:r>
          </w:p>
        </w:tc>
      </w:tr>
      <w:tr w:rsidR="00A22893" w14:paraId="336ECB9C" w14:textId="77777777" w:rsidTr="008364C7">
        <w:tc>
          <w:tcPr>
            <w:tcW w:w="9576" w:type="dxa"/>
          </w:tcPr>
          <w:p w14:paraId="0C6FADE4" w14:textId="4EA71AF2" w:rsidR="008423E4" w:rsidRPr="00861995" w:rsidRDefault="00F25C87" w:rsidP="005053D4">
            <w:pPr>
              <w:contextualSpacing/>
              <w:jc w:val="right"/>
            </w:pPr>
            <w:r>
              <w:t xml:space="preserve">By: </w:t>
            </w:r>
            <w:r w:rsidR="00D4624E">
              <w:t>Harris</w:t>
            </w:r>
          </w:p>
        </w:tc>
      </w:tr>
      <w:tr w:rsidR="00A22893" w14:paraId="7AD3277C" w14:textId="77777777" w:rsidTr="008364C7">
        <w:tc>
          <w:tcPr>
            <w:tcW w:w="9576" w:type="dxa"/>
          </w:tcPr>
          <w:p w14:paraId="3C85F9F6" w14:textId="009BA5A5" w:rsidR="008423E4" w:rsidRPr="00861995" w:rsidRDefault="00F25C87" w:rsidP="005053D4">
            <w:pPr>
              <w:contextualSpacing/>
              <w:jc w:val="right"/>
            </w:pPr>
            <w:r>
              <w:t>Judiciary &amp; Civil Jurisprudence</w:t>
            </w:r>
          </w:p>
        </w:tc>
      </w:tr>
      <w:tr w:rsidR="00A22893" w14:paraId="0E7C5474" w14:textId="77777777" w:rsidTr="008364C7">
        <w:tc>
          <w:tcPr>
            <w:tcW w:w="9576" w:type="dxa"/>
          </w:tcPr>
          <w:p w14:paraId="119EA714" w14:textId="77D1D65C" w:rsidR="008423E4" w:rsidRDefault="00F25C87" w:rsidP="005053D4">
            <w:pPr>
              <w:contextualSpacing/>
              <w:jc w:val="right"/>
            </w:pPr>
            <w:r>
              <w:t>Committee Report (Unamended)</w:t>
            </w:r>
          </w:p>
        </w:tc>
      </w:tr>
    </w:tbl>
    <w:p w14:paraId="52C0A3BB" w14:textId="77777777" w:rsidR="008423E4" w:rsidRDefault="008423E4" w:rsidP="005053D4">
      <w:pPr>
        <w:tabs>
          <w:tab w:val="right" w:pos="9360"/>
        </w:tabs>
        <w:contextualSpacing/>
      </w:pPr>
    </w:p>
    <w:p w14:paraId="4356229D" w14:textId="77777777" w:rsidR="008423E4" w:rsidRDefault="008423E4" w:rsidP="005053D4">
      <w:pPr>
        <w:contextualSpacing/>
      </w:pPr>
    </w:p>
    <w:p w14:paraId="5A7AA72B" w14:textId="77777777" w:rsidR="008423E4" w:rsidRDefault="008423E4" w:rsidP="005053D4">
      <w:pPr>
        <w:contextualSpacing/>
      </w:pPr>
    </w:p>
    <w:tbl>
      <w:tblPr>
        <w:tblW w:w="0" w:type="auto"/>
        <w:tblCellMar>
          <w:left w:w="115" w:type="dxa"/>
          <w:right w:w="115" w:type="dxa"/>
        </w:tblCellMar>
        <w:tblLook w:val="01E0" w:firstRow="1" w:lastRow="1" w:firstColumn="1" w:lastColumn="1" w:noHBand="0" w:noVBand="0"/>
      </w:tblPr>
      <w:tblGrid>
        <w:gridCol w:w="9360"/>
      </w:tblGrid>
      <w:tr w:rsidR="00A22893" w14:paraId="456B99DB" w14:textId="77777777" w:rsidTr="008364C7">
        <w:tc>
          <w:tcPr>
            <w:tcW w:w="9576" w:type="dxa"/>
          </w:tcPr>
          <w:p w14:paraId="2E6BF710" w14:textId="77777777" w:rsidR="008423E4" w:rsidRPr="00A8133F" w:rsidRDefault="00F25C87" w:rsidP="005053D4">
            <w:pPr>
              <w:contextualSpacing/>
              <w:rPr>
                <w:b/>
              </w:rPr>
            </w:pPr>
            <w:r w:rsidRPr="009C1E9A">
              <w:rPr>
                <w:b/>
                <w:u w:val="single"/>
              </w:rPr>
              <w:t>BACKGROUND AND PURPOSE</w:t>
            </w:r>
            <w:r>
              <w:rPr>
                <w:b/>
              </w:rPr>
              <w:t xml:space="preserve"> </w:t>
            </w:r>
          </w:p>
          <w:p w14:paraId="7EF1DD80" w14:textId="77777777" w:rsidR="008423E4" w:rsidRDefault="008423E4" w:rsidP="005053D4">
            <w:pPr>
              <w:contextualSpacing/>
            </w:pPr>
          </w:p>
          <w:p w14:paraId="68082C37" w14:textId="61283627" w:rsidR="008423E4" w:rsidRDefault="00F25C87" w:rsidP="005053D4">
            <w:pPr>
              <w:pStyle w:val="Header"/>
              <w:contextualSpacing/>
              <w:jc w:val="both"/>
            </w:pPr>
            <w:r>
              <w:t xml:space="preserve">Concerns have been raised that </w:t>
            </w:r>
            <w:r w:rsidR="000608DF" w:rsidRPr="000608DF">
              <w:t>the public nuisance cause of action is being misused and expanded in ways that were never intended</w:t>
            </w:r>
            <w:r w:rsidR="00FA50FA">
              <w:t>, with l</w:t>
            </w:r>
            <w:r w:rsidR="000608DF" w:rsidRPr="000608DF">
              <w:t>awsuits brought by private plaintiffs claim</w:t>
            </w:r>
            <w:r w:rsidR="00FA50FA">
              <w:t xml:space="preserve">ing </w:t>
            </w:r>
            <w:r w:rsidR="000608DF" w:rsidRPr="000608DF">
              <w:t xml:space="preserve">that everyday consumer products, as well as economic activities sanctioned and encouraged by the Texas and federal governments, create public nuisances. </w:t>
            </w:r>
            <w:r w:rsidR="00FA50FA">
              <w:t>These</w:t>
            </w:r>
            <w:r w:rsidR="000608DF" w:rsidRPr="000608DF">
              <w:t xml:space="preserve"> lawsuits frequently seek monetary damages, where</w:t>
            </w:r>
            <w:r w:rsidR="00FA50FA">
              <w:t>as</w:t>
            </w:r>
            <w:r w:rsidR="000608DF" w:rsidRPr="000608DF">
              <w:t xml:space="preserve"> injunctive relief </w:t>
            </w:r>
            <w:r w:rsidR="00FA50FA">
              <w:t>has</w:t>
            </w:r>
            <w:r w:rsidR="00FA50FA" w:rsidRPr="000608DF">
              <w:t xml:space="preserve"> </w:t>
            </w:r>
            <w:r w:rsidR="000608DF" w:rsidRPr="000608DF">
              <w:t xml:space="preserve">traditionally </w:t>
            </w:r>
            <w:r w:rsidR="00FA50FA">
              <w:t xml:space="preserve">been </w:t>
            </w:r>
            <w:r w:rsidR="000608DF" w:rsidRPr="000608DF">
              <w:t>the remedy available to abate a nuisance.</w:t>
            </w:r>
            <w:r w:rsidR="000608DF">
              <w:t xml:space="preserve"> </w:t>
            </w:r>
            <w:r w:rsidRPr="00B34BB4">
              <w:t>H</w:t>
            </w:r>
            <w:r>
              <w:t>.</w:t>
            </w:r>
            <w:r w:rsidRPr="00B34BB4">
              <w:t>B</w:t>
            </w:r>
            <w:r>
              <w:t>.</w:t>
            </w:r>
            <w:r w:rsidRPr="00B34BB4">
              <w:t xml:space="preserve"> 2144 </w:t>
            </w:r>
            <w:r w:rsidR="00E36CE6">
              <w:t xml:space="preserve">seeks to </w:t>
            </w:r>
            <w:r w:rsidRPr="00B34BB4">
              <w:t xml:space="preserve">ensure that the tort of public nuisance is defined clearly and in a manner consistent with its traditional scope for purposes of its use </w:t>
            </w:r>
            <w:r w:rsidRPr="00B34BB4">
              <w:t xml:space="preserve">as a cause of action in </w:t>
            </w:r>
            <w:r>
              <w:t>Texas</w:t>
            </w:r>
            <w:r w:rsidRPr="00B34BB4">
              <w:t xml:space="preserve">. </w:t>
            </w:r>
          </w:p>
          <w:p w14:paraId="5C79BD9A" w14:textId="73503B84" w:rsidR="006F2954" w:rsidRPr="00E26B13" w:rsidRDefault="006F2954" w:rsidP="005053D4">
            <w:pPr>
              <w:pStyle w:val="Header"/>
              <w:contextualSpacing/>
              <w:jc w:val="both"/>
              <w:rPr>
                <w:b/>
              </w:rPr>
            </w:pPr>
          </w:p>
        </w:tc>
      </w:tr>
      <w:tr w:rsidR="00A22893" w14:paraId="42B0E040" w14:textId="77777777" w:rsidTr="008364C7">
        <w:tc>
          <w:tcPr>
            <w:tcW w:w="9576" w:type="dxa"/>
          </w:tcPr>
          <w:p w14:paraId="4BFA4963" w14:textId="77777777" w:rsidR="0017725B" w:rsidRDefault="00F25C87" w:rsidP="005053D4">
            <w:pPr>
              <w:contextualSpacing/>
              <w:rPr>
                <w:b/>
                <w:u w:val="single"/>
              </w:rPr>
            </w:pPr>
            <w:r>
              <w:rPr>
                <w:b/>
                <w:u w:val="single"/>
              </w:rPr>
              <w:t>CRIMINAL JUSTICE IMPACT</w:t>
            </w:r>
          </w:p>
          <w:p w14:paraId="5BDE4B35" w14:textId="77777777" w:rsidR="0017725B" w:rsidRDefault="0017725B" w:rsidP="005053D4">
            <w:pPr>
              <w:contextualSpacing/>
              <w:rPr>
                <w:b/>
                <w:u w:val="single"/>
              </w:rPr>
            </w:pPr>
          </w:p>
          <w:p w14:paraId="79F80DD6" w14:textId="77777777" w:rsidR="008D31AE" w:rsidRPr="008D31AE" w:rsidRDefault="00F25C87" w:rsidP="005053D4">
            <w:pPr>
              <w:contextualSpacing/>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3C37C5ED" w14:textId="77777777" w:rsidR="0017725B" w:rsidRPr="0017725B" w:rsidRDefault="0017725B" w:rsidP="005053D4">
            <w:pPr>
              <w:contextualSpacing/>
              <w:rPr>
                <w:b/>
                <w:u w:val="single"/>
              </w:rPr>
            </w:pPr>
          </w:p>
        </w:tc>
      </w:tr>
      <w:tr w:rsidR="00A22893" w14:paraId="73762F87" w14:textId="77777777" w:rsidTr="008364C7">
        <w:tc>
          <w:tcPr>
            <w:tcW w:w="9576" w:type="dxa"/>
          </w:tcPr>
          <w:p w14:paraId="1697D836" w14:textId="77777777" w:rsidR="008423E4" w:rsidRPr="00A8133F" w:rsidRDefault="00F25C87" w:rsidP="005053D4">
            <w:pPr>
              <w:contextualSpacing/>
              <w:rPr>
                <w:b/>
              </w:rPr>
            </w:pPr>
            <w:r w:rsidRPr="009C1E9A">
              <w:rPr>
                <w:b/>
                <w:u w:val="single"/>
              </w:rPr>
              <w:t>RULEMAKING AUTHORITY</w:t>
            </w:r>
            <w:r>
              <w:rPr>
                <w:b/>
              </w:rPr>
              <w:t xml:space="preserve"> </w:t>
            </w:r>
          </w:p>
          <w:p w14:paraId="5A4E44BD" w14:textId="77777777" w:rsidR="008423E4" w:rsidRDefault="008423E4" w:rsidP="005053D4">
            <w:pPr>
              <w:contextualSpacing/>
            </w:pPr>
          </w:p>
          <w:p w14:paraId="07AFFE8D" w14:textId="77777777" w:rsidR="008D31AE" w:rsidRDefault="00F25C87" w:rsidP="005053D4">
            <w:pPr>
              <w:pStyle w:val="Header"/>
              <w:tabs>
                <w:tab w:val="clear" w:pos="4320"/>
                <w:tab w:val="clear" w:pos="8640"/>
              </w:tabs>
              <w:contextualSpacing/>
              <w:jc w:val="both"/>
            </w:pPr>
            <w:r>
              <w:t xml:space="preserve">It is the committee's opinion that this bill does not expressly grant any additional rulemaking authority to a state officer, department, agency, </w:t>
            </w:r>
            <w:r>
              <w:t>or institution.</w:t>
            </w:r>
          </w:p>
          <w:p w14:paraId="05C50C51" w14:textId="77777777" w:rsidR="008423E4" w:rsidRPr="00E21FDC" w:rsidRDefault="008423E4" w:rsidP="005053D4">
            <w:pPr>
              <w:contextualSpacing/>
              <w:rPr>
                <w:b/>
              </w:rPr>
            </w:pPr>
          </w:p>
        </w:tc>
      </w:tr>
      <w:tr w:rsidR="00A22893" w14:paraId="3B12A0D5" w14:textId="77777777" w:rsidTr="008364C7">
        <w:tc>
          <w:tcPr>
            <w:tcW w:w="9576" w:type="dxa"/>
          </w:tcPr>
          <w:p w14:paraId="180A3F6A" w14:textId="77777777" w:rsidR="008423E4" w:rsidRPr="00A8133F" w:rsidRDefault="00F25C87" w:rsidP="005053D4">
            <w:pPr>
              <w:contextualSpacing/>
              <w:rPr>
                <w:b/>
              </w:rPr>
            </w:pPr>
            <w:r w:rsidRPr="009C1E9A">
              <w:rPr>
                <w:b/>
                <w:u w:val="single"/>
              </w:rPr>
              <w:t>ANALYSIS</w:t>
            </w:r>
            <w:r>
              <w:rPr>
                <w:b/>
              </w:rPr>
              <w:t xml:space="preserve"> </w:t>
            </w:r>
          </w:p>
          <w:p w14:paraId="5C2F723D" w14:textId="77777777" w:rsidR="008423E4" w:rsidRDefault="008423E4" w:rsidP="005053D4">
            <w:pPr>
              <w:contextualSpacing/>
            </w:pPr>
          </w:p>
          <w:p w14:paraId="05D6E5B9" w14:textId="46F66D74" w:rsidR="00D417F9" w:rsidRDefault="00F25C87" w:rsidP="005053D4">
            <w:pPr>
              <w:pStyle w:val="Header"/>
              <w:contextualSpacing/>
              <w:jc w:val="both"/>
            </w:pPr>
            <w:r>
              <w:t xml:space="preserve">H.B. 2144 amends the </w:t>
            </w:r>
            <w:r w:rsidRPr="00061C36">
              <w:t>Civil Practice and Remedies Code</w:t>
            </w:r>
            <w:r>
              <w:t xml:space="preserve"> to </w:t>
            </w:r>
            <w:r w:rsidR="00E36CE6">
              <w:t>set out provisions governing the tort of public nuisance. The bill</w:t>
            </w:r>
            <w:r w:rsidR="00FA50FA">
              <w:t xml:space="preserve">'s provisions </w:t>
            </w:r>
            <w:r w:rsidR="00E36CE6">
              <w:t>expressly abrogate</w:t>
            </w:r>
            <w:r w:rsidR="00FA50FA">
              <w:t xml:space="preserve"> </w:t>
            </w:r>
            <w:r w:rsidR="00E36CE6">
              <w:t>the common law of public nuisance and supersede any other statute to the extent of a conflict</w:t>
            </w:r>
            <w:r>
              <w:t>. The bill's provisions</w:t>
            </w:r>
            <w:r w:rsidR="00E36CE6">
              <w:t xml:space="preserve"> </w:t>
            </w:r>
            <w:r>
              <w:t xml:space="preserve">expressly </w:t>
            </w:r>
            <w:r w:rsidR="00E36CE6">
              <w:t>provide the only remedies for the tort of public nuisance</w:t>
            </w:r>
            <w:r>
              <w:t xml:space="preserve">, but </w:t>
            </w:r>
            <w:r w:rsidR="00E36CE6">
              <w:t>do not affect the availability of a remedy provided by statutory provisions relating to suit to abate certain common nuisances</w:t>
            </w:r>
            <w:r>
              <w:t xml:space="preserve"> or another statute relating to criminal conduct and designated as a common or public nuisance or the authority of a governmental entity to take a regulatory or enforcement action in connection with a condi</w:t>
            </w:r>
            <w:r>
              <w:t>tion designated by statute as a public nuisance</w:t>
            </w:r>
            <w:r w:rsidR="00E36CE6">
              <w:t xml:space="preserve">. </w:t>
            </w:r>
          </w:p>
          <w:p w14:paraId="7BE02493" w14:textId="77777777" w:rsidR="00D417F9" w:rsidRDefault="00D417F9" w:rsidP="005053D4">
            <w:pPr>
              <w:pStyle w:val="Header"/>
              <w:contextualSpacing/>
              <w:jc w:val="both"/>
            </w:pPr>
          </w:p>
          <w:p w14:paraId="233E78DC" w14:textId="5F2876B4" w:rsidR="00061C36" w:rsidRDefault="00F25C87" w:rsidP="005053D4">
            <w:pPr>
              <w:pStyle w:val="Header"/>
              <w:contextualSpacing/>
              <w:jc w:val="both"/>
            </w:pPr>
            <w:r>
              <w:t>H.B. 2144</w:t>
            </w:r>
            <w:r w:rsidR="00E36CE6">
              <w:t xml:space="preserve"> </w:t>
            </w:r>
            <w:r>
              <w:t>establish</w:t>
            </w:r>
            <w:r w:rsidR="00E36CE6">
              <w:t>es</w:t>
            </w:r>
            <w:r>
              <w:t xml:space="preserve"> that a person ma</w:t>
            </w:r>
            <w:r w:rsidRPr="00061C36">
              <w:t>y be held liable for a public nuisance only if the person causes an unlawful condition and controls that unlawful condition at the time the condition violates an estab</w:t>
            </w:r>
            <w:r w:rsidRPr="00061C36">
              <w:t>lished public right.</w:t>
            </w:r>
            <w:r>
              <w:t xml:space="preserve"> Conditions arising from the following conduct are not considered unlawful conditions for purposes of a public nuisance action:</w:t>
            </w:r>
          </w:p>
          <w:p w14:paraId="2EAF5C93" w14:textId="6C48E2D1" w:rsidR="00061C36" w:rsidRDefault="00F25C87" w:rsidP="005053D4">
            <w:pPr>
              <w:pStyle w:val="Header"/>
              <w:numPr>
                <w:ilvl w:val="0"/>
                <w:numId w:val="1"/>
              </w:numPr>
              <w:contextualSpacing/>
              <w:jc w:val="both"/>
            </w:pPr>
            <w:r>
              <w:t>an activity expressly authorized or encouraged by a statute, ordinance, rule, or other similar measure adopt</w:t>
            </w:r>
            <w:r>
              <w:t>ed by the state, a political subdivision of th</w:t>
            </w:r>
            <w:r w:rsidR="00E36CE6">
              <w:t>e</w:t>
            </w:r>
            <w:r>
              <w:t xml:space="preserve"> state, the United States, or a regulatory agency of th</w:t>
            </w:r>
            <w:r w:rsidR="00E36CE6">
              <w:t>e</w:t>
            </w:r>
            <w:r>
              <w:t xml:space="preserve"> state or the United States; </w:t>
            </w:r>
            <w:r w:rsidR="00670605">
              <w:t>and</w:t>
            </w:r>
          </w:p>
          <w:p w14:paraId="187F4647" w14:textId="77777777" w:rsidR="009C36CD" w:rsidRDefault="00F25C87" w:rsidP="005053D4">
            <w:pPr>
              <w:pStyle w:val="Header"/>
              <w:numPr>
                <w:ilvl w:val="0"/>
                <w:numId w:val="1"/>
              </w:numPr>
              <w:tabs>
                <w:tab w:val="clear" w:pos="4320"/>
                <w:tab w:val="clear" w:pos="8640"/>
              </w:tabs>
              <w:contextualSpacing/>
              <w:jc w:val="both"/>
            </w:pPr>
            <w:r>
              <w:t>the lawful manufacturing, distributing, selling, advertising, or promoting of a lawful product.</w:t>
            </w:r>
          </w:p>
          <w:p w14:paraId="65B7C138" w14:textId="45AC3206" w:rsidR="00061C36" w:rsidRDefault="00F25C87" w:rsidP="005053D4">
            <w:pPr>
              <w:pStyle w:val="Header"/>
              <w:tabs>
                <w:tab w:val="clear" w:pos="4320"/>
                <w:tab w:val="clear" w:pos="8640"/>
              </w:tabs>
              <w:contextualSpacing/>
              <w:jc w:val="both"/>
            </w:pPr>
            <w:r>
              <w:t xml:space="preserve">The bill </w:t>
            </w:r>
            <w:r w:rsidR="004F6432">
              <w:t>specifies</w:t>
            </w:r>
            <w:r>
              <w:t xml:space="preserve"> that </w:t>
            </w:r>
            <w:r>
              <w:t xml:space="preserve">the list of conditions and conduct provided by the bill is not exhaustive and it may not be </w:t>
            </w:r>
            <w:r w:rsidRPr="00581FE3">
              <w:t>presumed that a person may be held liable for a public nuisance arising from conduct or conditions not listed</w:t>
            </w:r>
            <w:r w:rsidR="00670605">
              <w:t>.</w:t>
            </w:r>
            <w:r>
              <w:t xml:space="preserve"> </w:t>
            </w:r>
            <w:r w:rsidR="00670605">
              <w:t>T</w:t>
            </w:r>
            <w:r>
              <w:t xml:space="preserve">he </w:t>
            </w:r>
            <w:r w:rsidRPr="00581FE3">
              <w:t>aggregation of multiple individual injuries or pr</w:t>
            </w:r>
            <w:r w:rsidRPr="00581FE3">
              <w:t>ivate nuisances do not constitute violations of an established public right for purpo</w:t>
            </w:r>
            <w:r>
              <w:t>ses of a public nuisance action.</w:t>
            </w:r>
          </w:p>
          <w:p w14:paraId="557C80B9" w14:textId="77777777" w:rsidR="004D3055" w:rsidRDefault="004D3055" w:rsidP="005053D4">
            <w:pPr>
              <w:pStyle w:val="Header"/>
              <w:tabs>
                <w:tab w:val="clear" w:pos="4320"/>
                <w:tab w:val="clear" w:pos="8640"/>
              </w:tabs>
              <w:contextualSpacing/>
              <w:jc w:val="both"/>
            </w:pPr>
          </w:p>
          <w:p w14:paraId="24630AF5" w14:textId="35F7FA01" w:rsidR="004D3055" w:rsidRDefault="00F25C87" w:rsidP="005053D4">
            <w:pPr>
              <w:pStyle w:val="Header"/>
              <w:tabs>
                <w:tab w:val="clear" w:pos="4320"/>
                <w:tab w:val="clear" w:pos="8640"/>
              </w:tabs>
              <w:contextualSpacing/>
              <w:jc w:val="both"/>
            </w:pPr>
            <w:r>
              <w:t xml:space="preserve">H.B. 2144 </w:t>
            </w:r>
            <w:r w:rsidR="00DF1FB2">
              <w:t>restricts</w:t>
            </w:r>
            <w:r>
              <w:t xml:space="preserve"> the authority to </w:t>
            </w:r>
            <w:r w:rsidRPr="004D3055">
              <w:t xml:space="preserve">bring a public nuisance action </w:t>
            </w:r>
            <w:r w:rsidR="00B93D59" w:rsidRPr="00B93D59">
              <w:t xml:space="preserve">to the state or a political subdivision of the state </w:t>
            </w:r>
            <w:r w:rsidRPr="004D3055">
              <w:t xml:space="preserve">and </w:t>
            </w:r>
            <w:r w:rsidR="008364C7">
              <w:t xml:space="preserve">establishes that </w:t>
            </w:r>
            <w:r>
              <w:t>only</w:t>
            </w:r>
            <w:r w:rsidRPr="004D3055">
              <w:t xml:space="preserve"> a government attorney of the relevant jurisdiction</w:t>
            </w:r>
            <w:r w:rsidR="008364C7">
              <w:t xml:space="preserve"> may bring an action</w:t>
            </w:r>
            <w:r w:rsidRPr="004D3055">
              <w:t>.</w:t>
            </w:r>
            <w:r w:rsidR="00DF1FB2">
              <w:t xml:space="preserve"> The bill </w:t>
            </w:r>
            <w:r w:rsidR="007026ED">
              <w:t xml:space="preserve">establishes a presumption that only a single governmental entity has standing to file or maintain such an action relating to the real property or waterway to which a public nuisance relates in the absence of a clear and convincing showing otherwise. The state or a political subdivision must have a substantial ownership interest in or authority over the </w:t>
            </w:r>
            <w:r w:rsidR="003E2100">
              <w:t xml:space="preserve">real </w:t>
            </w:r>
            <w:r w:rsidR="007026ED">
              <w:t xml:space="preserve">property or waterway, or ancillary related space, to which the public nuisance relates to bring an action. The bill </w:t>
            </w:r>
            <w:r w:rsidR="00BB1904">
              <w:t>establishes that a financial expenditure made by the state or political subdivision related to the remediation, abatement, or injunction of an unlawful condition does not constitute injury sufficient to confer standing to file or maintain such an action.</w:t>
            </w:r>
          </w:p>
          <w:p w14:paraId="06A81301" w14:textId="77777777" w:rsidR="00B93D59" w:rsidRDefault="00B93D59" w:rsidP="005053D4">
            <w:pPr>
              <w:pStyle w:val="Header"/>
              <w:tabs>
                <w:tab w:val="clear" w:pos="4320"/>
                <w:tab w:val="clear" w:pos="8640"/>
              </w:tabs>
              <w:contextualSpacing/>
              <w:jc w:val="both"/>
            </w:pPr>
          </w:p>
          <w:p w14:paraId="78EDB11A" w14:textId="480118CA" w:rsidR="00B93D59" w:rsidRDefault="00F25C87" w:rsidP="005053D4">
            <w:pPr>
              <w:pStyle w:val="Header"/>
              <w:tabs>
                <w:tab w:val="clear" w:pos="4320"/>
                <w:tab w:val="clear" w:pos="8640"/>
              </w:tabs>
              <w:contextualSpacing/>
              <w:jc w:val="both"/>
            </w:pPr>
            <w:r>
              <w:t xml:space="preserve">H.B. 2144 </w:t>
            </w:r>
            <w:r w:rsidR="008364C7">
              <w:t xml:space="preserve">limits a private citizen's maintenance of an action in the private citizen's individual capacity for purposes of </w:t>
            </w:r>
            <w:r w:rsidRPr="00B93D59">
              <w:t>enjoin</w:t>
            </w:r>
            <w:r w:rsidR="008364C7">
              <w:t>ing</w:t>
            </w:r>
            <w:r w:rsidRPr="00B93D59">
              <w:t xml:space="preserve"> a public nuisance </w:t>
            </w:r>
            <w:r w:rsidR="008364C7">
              <w:t>to a</w:t>
            </w:r>
            <w:r w:rsidRPr="00B93D59">
              <w:t xml:space="preserve"> private citizen </w:t>
            </w:r>
            <w:r w:rsidR="008364C7">
              <w:t xml:space="preserve">who </w:t>
            </w:r>
            <w:r w:rsidRPr="00B93D59">
              <w:t xml:space="preserve">can show a </w:t>
            </w:r>
            <w:r w:rsidRPr="00B93D59">
              <w:t>special injury b</w:t>
            </w:r>
            <w:r w:rsidR="004F6432">
              <w:t xml:space="preserve">y clear and convincing evidence. The bill </w:t>
            </w:r>
            <w:r w:rsidR="008364C7">
              <w:t xml:space="preserve">specifies </w:t>
            </w:r>
            <w:r w:rsidR="00BB1904">
              <w:t>that use of or damage to public land, air, or water with only personal, spiritual, cultural, or emotional significance to the individual is not a special injury for purposes of a public nuisance claim. The bill</w:t>
            </w:r>
            <w:r w:rsidR="004F6432">
              <w:t xml:space="preserve"> prohibits an i</w:t>
            </w:r>
            <w:r w:rsidR="004F6432" w:rsidRPr="004F6432">
              <w:t xml:space="preserve">ndividual </w:t>
            </w:r>
            <w:r w:rsidR="004F6432">
              <w:t>from seeking</w:t>
            </w:r>
            <w:r w:rsidR="004F6432" w:rsidRPr="004F6432">
              <w:t xml:space="preserve"> relief for both a public nuisance under </w:t>
            </w:r>
            <w:r w:rsidR="004F6432">
              <w:t>a</w:t>
            </w:r>
            <w:r w:rsidR="004F6432" w:rsidRPr="004F6432">
              <w:t xml:space="preserve"> special injury exception and for a private nuisance for a harm related to the same unlawful condition.</w:t>
            </w:r>
          </w:p>
          <w:p w14:paraId="51B024EF" w14:textId="77777777" w:rsidR="004F6432" w:rsidRDefault="004F6432" w:rsidP="005053D4">
            <w:pPr>
              <w:pStyle w:val="Header"/>
              <w:tabs>
                <w:tab w:val="clear" w:pos="4320"/>
                <w:tab w:val="clear" w:pos="8640"/>
              </w:tabs>
              <w:contextualSpacing/>
              <w:jc w:val="both"/>
            </w:pPr>
          </w:p>
          <w:p w14:paraId="1CC637E2" w14:textId="3A41BC66" w:rsidR="00520FC9" w:rsidRDefault="00F25C87" w:rsidP="005053D4">
            <w:pPr>
              <w:pStyle w:val="Header"/>
              <w:contextualSpacing/>
              <w:jc w:val="both"/>
            </w:pPr>
            <w:r>
              <w:t xml:space="preserve">H.B. 2144 limits the remedies in </w:t>
            </w:r>
            <w:r w:rsidRPr="004F6432">
              <w:t>a public nuisance</w:t>
            </w:r>
            <w:r w:rsidRPr="004F6432">
              <w:t xml:space="preserve"> action</w:t>
            </w:r>
            <w:r>
              <w:t xml:space="preserve"> to: </w:t>
            </w:r>
          </w:p>
          <w:p w14:paraId="68248FA7" w14:textId="77777777" w:rsidR="00520FC9" w:rsidRDefault="00F25C87" w:rsidP="00775AD1">
            <w:pPr>
              <w:pStyle w:val="Header"/>
              <w:numPr>
                <w:ilvl w:val="0"/>
                <w:numId w:val="3"/>
              </w:numPr>
              <w:contextualSpacing/>
              <w:jc w:val="both"/>
            </w:pPr>
            <w:r>
              <w:t>injunctive relief sufficient to prevent the unlawful condition from violating a</w:t>
            </w:r>
            <w:r w:rsidR="00505806">
              <w:t>n established public right</w:t>
            </w:r>
            <w:r>
              <w:t>;</w:t>
            </w:r>
            <w:r w:rsidR="00505806">
              <w:t xml:space="preserve"> and </w:t>
            </w:r>
          </w:p>
          <w:p w14:paraId="3A088DA3" w14:textId="7C35318E" w:rsidR="00520FC9" w:rsidRDefault="00F25C87" w:rsidP="00775AD1">
            <w:pPr>
              <w:pStyle w:val="Header"/>
              <w:numPr>
                <w:ilvl w:val="0"/>
                <w:numId w:val="3"/>
              </w:numPr>
              <w:contextualSpacing/>
              <w:jc w:val="both"/>
            </w:pPr>
            <w:r>
              <w:t>monetary and nonmonetary resources necessary to abate the public nuisance, if quantifiable and based on the following:</w:t>
            </w:r>
          </w:p>
          <w:p w14:paraId="49AED61B" w14:textId="30D8CE9E" w:rsidR="00520FC9" w:rsidRDefault="00F25C87" w:rsidP="00775AD1">
            <w:pPr>
              <w:pStyle w:val="Header"/>
              <w:numPr>
                <w:ilvl w:val="1"/>
                <w:numId w:val="3"/>
              </w:numPr>
              <w:contextualSpacing/>
              <w:jc w:val="both"/>
            </w:pPr>
            <w:r>
              <w:t xml:space="preserve">speculative </w:t>
            </w:r>
            <w:r>
              <w:t>estimates of current needs;</w:t>
            </w:r>
          </w:p>
          <w:p w14:paraId="0A236DA3" w14:textId="087A4587" w:rsidR="00520FC9" w:rsidRDefault="00F25C87" w:rsidP="00775AD1">
            <w:pPr>
              <w:pStyle w:val="Header"/>
              <w:numPr>
                <w:ilvl w:val="1"/>
                <w:numId w:val="3"/>
              </w:numPr>
              <w:contextualSpacing/>
              <w:jc w:val="both"/>
            </w:pPr>
            <w:r>
              <w:t>the costs of future remediation;</w:t>
            </w:r>
          </w:p>
          <w:p w14:paraId="69D8D68A" w14:textId="64AAE9A8" w:rsidR="00520FC9" w:rsidRDefault="00F25C87" w:rsidP="00775AD1">
            <w:pPr>
              <w:pStyle w:val="Header"/>
              <w:numPr>
                <w:ilvl w:val="1"/>
                <w:numId w:val="3"/>
              </w:numPr>
              <w:contextualSpacing/>
              <w:jc w:val="both"/>
            </w:pPr>
            <w:r>
              <w:t>the costs of investigating and identifying the existence of an unlawful condition;</w:t>
            </w:r>
          </w:p>
          <w:p w14:paraId="510BF50D" w14:textId="5220120B" w:rsidR="00520FC9" w:rsidRDefault="00F25C87" w:rsidP="00775AD1">
            <w:pPr>
              <w:pStyle w:val="Header"/>
              <w:numPr>
                <w:ilvl w:val="1"/>
                <w:numId w:val="3"/>
              </w:numPr>
              <w:contextualSpacing/>
              <w:jc w:val="both"/>
            </w:pPr>
            <w:r>
              <w:t>the costs of public services provided as a result of the public nuisance; or</w:t>
            </w:r>
          </w:p>
          <w:p w14:paraId="53E48217" w14:textId="77777777" w:rsidR="00520FC9" w:rsidRDefault="00F25C87" w:rsidP="00775AD1">
            <w:pPr>
              <w:pStyle w:val="Header"/>
              <w:numPr>
                <w:ilvl w:val="1"/>
                <w:numId w:val="3"/>
              </w:numPr>
              <w:contextualSpacing/>
              <w:jc w:val="both"/>
            </w:pPr>
            <w:r>
              <w:t>damages of any kind, except for com</w:t>
            </w:r>
            <w:r>
              <w:t>pensatory damages for a special injury established in accordance with this chapter</w:t>
            </w:r>
            <w:r w:rsidR="00505806">
              <w:t xml:space="preserve">. </w:t>
            </w:r>
          </w:p>
          <w:p w14:paraId="6BE496A8" w14:textId="66F4AED8" w:rsidR="00D417F9" w:rsidRDefault="00F25C87" w:rsidP="00775AD1">
            <w:pPr>
              <w:pStyle w:val="Header"/>
              <w:contextualSpacing/>
              <w:jc w:val="both"/>
            </w:pPr>
            <w:r>
              <w:t xml:space="preserve">The bill requires </w:t>
            </w:r>
            <w:r w:rsidRPr="003D0CEB">
              <w:t xml:space="preserve">the necessity of monetary resources to abate the public nuisance </w:t>
            </w:r>
            <w:r>
              <w:t>to</w:t>
            </w:r>
            <w:r w:rsidRPr="003D0CEB">
              <w:t xml:space="preserve"> be established by the plaintiff by clear and convincing evidence.</w:t>
            </w:r>
          </w:p>
          <w:p w14:paraId="08DA8262" w14:textId="77777777" w:rsidR="00D417F9" w:rsidRDefault="00D417F9" w:rsidP="005053D4">
            <w:pPr>
              <w:pStyle w:val="Header"/>
              <w:contextualSpacing/>
              <w:jc w:val="both"/>
            </w:pPr>
          </w:p>
          <w:p w14:paraId="71C867C6" w14:textId="1FBB1610" w:rsidR="00D417F9" w:rsidRDefault="00F25C87" w:rsidP="005053D4">
            <w:pPr>
              <w:pStyle w:val="Header"/>
              <w:contextualSpacing/>
              <w:jc w:val="both"/>
            </w:pPr>
            <w:r>
              <w:t xml:space="preserve">H.B. 2144 defines </w:t>
            </w:r>
            <w:r>
              <w:t>"established public right," "government attorney," "public nuisance," "special injury," and "unlawful condition" for purposes of its provisions</w:t>
            </w:r>
            <w:r w:rsidR="003E2100">
              <w:t xml:space="preserve"> and makes a conforming change to a chapter heading to reflect its </w:t>
            </w:r>
            <w:r w:rsidR="00A02731">
              <w:t>provisions</w:t>
            </w:r>
          </w:p>
          <w:p w14:paraId="72301E98" w14:textId="77777777" w:rsidR="008423E4" w:rsidRPr="00835628" w:rsidRDefault="008423E4" w:rsidP="005053D4">
            <w:pPr>
              <w:contextualSpacing/>
              <w:rPr>
                <w:b/>
              </w:rPr>
            </w:pPr>
          </w:p>
        </w:tc>
      </w:tr>
      <w:tr w:rsidR="00A22893" w14:paraId="13EEC114" w14:textId="77777777" w:rsidTr="008364C7">
        <w:tc>
          <w:tcPr>
            <w:tcW w:w="9576" w:type="dxa"/>
          </w:tcPr>
          <w:p w14:paraId="54B0EFB5" w14:textId="77777777" w:rsidR="008423E4" w:rsidRPr="00A8133F" w:rsidRDefault="00F25C87" w:rsidP="005053D4">
            <w:pPr>
              <w:contextualSpacing/>
              <w:rPr>
                <w:b/>
              </w:rPr>
            </w:pPr>
            <w:r w:rsidRPr="009C1E9A">
              <w:rPr>
                <w:b/>
                <w:u w:val="single"/>
              </w:rPr>
              <w:t>EFFECTIVE DATE</w:t>
            </w:r>
            <w:r>
              <w:rPr>
                <w:b/>
              </w:rPr>
              <w:t xml:space="preserve"> </w:t>
            </w:r>
          </w:p>
          <w:p w14:paraId="22E8D4E9" w14:textId="77777777" w:rsidR="008423E4" w:rsidRDefault="008423E4" w:rsidP="005053D4">
            <w:pPr>
              <w:contextualSpacing/>
            </w:pPr>
          </w:p>
          <w:p w14:paraId="593CC689" w14:textId="77777777" w:rsidR="008423E4" w:rsidRPr="003624F2" w:rsidRDefault="00F25C87" w:rsidP="005053D4">
            <w:pPr>
              <w:pStyle w:val="Header"/>
              <w:tabs>
                <w:tab w:val="clear" w:pos="4320"/>
                <w:tab w:val="clear" w:pos="8640"/>
              </w:tabs>
              <w:contextualSpacing/>
              <w:jc w:val="both"/>
            </w:pPr>
            <w:r>
              <w:t xml:space="preserve">September 1, </w:t>
            </w:r>
            <w:r>
              <w:t>2021.</w:t>
            </w:r>
          </w:p>
          <w:p w14:paraId="0B995216" w14:textId="77777777" w:rsidR="008423E4" w:rsidRPr="00233FDB" w:rsidRDefault="008423E4" w:rsidP="005053D4">
            <w:pPr>
              <w:contextualSpacing/>
              <w:rPr>
                <w:b/>
              </w:rPr>
            </w:pPr>
          </w:p>
        </w:tc>
      </w:tr>
    </w:tbl>
    <w:p w14:paraId="4971E0C0" w14:textId="77777777" w:rsidR="008423E4" w:rsidRPr="00BE0E75" w:rsidRDefault="008423E4" w:rsidP="005053D4">
      <w:pPr>
        <w:contextualSpacing/>
        <w:jc w:val="both"/>
        <w:rPr>
          <w:rFonts w:ascii="Arial" w:hAnsi="Arial"/>
          <w:sz w:val="16"/>
          <w:szCs w:val="16"/>
        </w:rPr>
      </w:pPr>
    </w:p>
    <w:p w14:paraId="30C80057" w14:textId="77777777" w:rsidR="004108C3" w:rsidRPr="008423E4" w:rsidRDefault="004108C3" w:rsidP="005053D4">
      <w:pPr>
        <w:contextualSpacing/>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71A99" w14:textId="77777777" w:rsidR="00000000" w:rsidRDefault="00F25C87">
      <w:r>
        <w:separator/>
      </w:r>
    </w:p>
  </w:endnote>
  <w:endnote w:type="continuationSeparator" w:id="0">
    <w:p w14:paraId="35B003A4" w14:textId="77777777" w:rsidR="00000000" w:rsidRDefault="00F2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EC4B" w14:textId="77777777" w:rsidR="008364C7" w:rsidRDefault="00836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A22893" w14:paraId="1FB7DBB1" w14:textId="77777777" w:rsidTr="009C1E9A">
      <w:trPr>
        <w:cantSplit/>
      </w:trPr>
      <w:tc>
        <w:tcPr>
          <w:tcW w:w="0" w:type="pct"/>
        </w:tcPr>
        <w:p w14:paraId="3F15A795" w14:textId="77777777" w:rsidR="008364C7" w:rsidRDefault="008364C7" w:rsidP="009C1E9A">
          <w:pPr>
            <w:pStyle w:val="Footer"/>
            <w:tabs>
              <w:tab w:val="clear" w:pos="8640"/>
              <w:tab w:val="right" w:pos="9360"/>
            </w:tabs>
          </w:pPr>
        </w:p>
      </w:tc>
      <w:tc>
        <w:tcPr>
          <w:tcW w:w="2395" w:type="pct"/>
        </w:tcPr>
        <w:p w14:paraId="3CCAD8AB" w14:textId="77777777" w:rsidR="008364C7" w:rsidRDefault="008364C7" w:rsidP="009C1E9A">
          <w:pPr>
            <w:pStyle w:val="Footer"/>
            <w:tabs>
              <w:tab w:val="clear" w:pos="8640"/>
              <w:tab w:val="right" w:pos="9360"/>
            </w:tabs>
          </w:pPr>
        </w:p>
        <w:p w14:paraId="4CE6F448" w14:textId="77777777" w:rsidR="008364C7" w:rsidRDefault="008364C7" w:rsidP="009C1E9A">
          <w:pPr>
            <w:pStyle w:val="Footer"/>
            <w:tabs>
              <w:tab w:val="clear" w:pos="8640"/>
              <w:tab w:val="right" w:pos="9360"/>
            </w:tabs>
          </w:pPr>
        </w:p>
        <w:p w14:paraId="53365807" w14:textId="77777777" w:rsidR="008364C7" w:rsidRDefault="008364C7" w:rsidP="009C1E9A">
          <w:pPr>
            <w:pStyle w:val="Footer"/>
            <w:tabs>
              <w:tab w:val="clear" w:pos="8640"/>
              <w:tab w:val="right" w:pos="9360"/>
            </w:tabs>
          </w:pPr>
        </w:p>
      </w:tc>
      <w:tc>
        <w:tcPr>
          <w:tcW w:w="2453" w:type="pct"/>
        </w:tcPr>
        <w:p w14:paraId="66DBF7A1" w14:textId="77777777" w:rsidR="008364C7" w:rsidRDefault="008364C7" w:rsidP="009C1E9A">
          <w:pPr>
            <w:pStyle w:val="Footer"/>
            <w:tabs>
              <w:tab w:val="clear" w:pos="8640"/>
              <w:tab w:val="right" w:pos="9360"/>
            </w:tabs>
            <w:jc w:val="right"/>
          </w:pPr>
        </w:p>
      </w:tc>
    </w:tr>
    <w:tr w:rsidR="00A22893" w14:paraId="6575C112" w14:textId="77777777" w:rsidTr="009C1E9A">
      <w:trPr>
        <w:cantSplit/>
      </w:trPr>
      <w:tc>
        <w:tcPr>
          <w:tcW w:w="0" w:type="pct"/>
        </w:tcPr>
        <w:p w14:paraId="6B73E6F8" w14:textId="77777777" w:rsidR="008364C7" w:rsidRDefault="008364C7" w:rsidP="009C1E9A">
          <w:pPr>
            <w:pStyle w:val="Footer"/>
            <w:tabs>
              <w:tab w:val="clear" w:pos="8640"/>
              <w:tab w:val="right" w:pos="9360"/>
            </w:tabs>
          </w:pPr>
        </w:p>
      </w:tc>
      <w:tc>
        <w:tcPr>
          <w:tcW w:w="2395" w:type="pct"/>
        </w:tcPr>
        <w:p w14:paraId="5870B7D8" w14:textId="176924FA" w:rsidR="008364C7" w:rsidRPr="009C1E9A" w:rsidRDefault="00F25C87" w:rsidP="009C1E9A">
          <w:pPr>
            <w:pStyle w:val="Footer"/>
            <w:tabs>
              <w:tab w:val="clear" w:pos="8640"/>
              <w:tab w:val="right" w:pos="9360"/>
            </w:tabs>
            <w:rPr>
              <w:rFonts w:ascii="Shruti" w:hAnsi="Shruti"/>
              <w:sz w:val="22"/>
            </w:rPr>
          </w:pPr>
          <w:r>
            <w:rPr>
              <w:rFonts w:ascii="Shruti" w:hAnsi="Shruti"/>
              <w:sz w:val="22"/>
            </w:rPr>
            <w:t>87R 23374</w:t>
          </w:r>
        </w:p>
      </w:tc>
      <w:tc>
        <w:tcPr>
          <w:tcW w:w="2453" w:type="pct"/>
        </w:tcPr>
        <w:p w14:paraId="7749CE21" w14:textId="3BD9A3D4" w:rsidR="008364C7" w:rsidRDefault="00F25C87" w:rsidP="009C1E9A">
          <w:pPr>
            <w:pStyle w:val="Footer"/>
            <w:tabs>
              <w:tab w:val="clear" w:pos="8640"/>
              <w:tab w:val="right" w:pos="9360"/>
            </w:tabs>
            <w:jc w:val="right"/>
          </w:pPr>
          <w:r>
            <w:fldChar w:fldCharType="begin"/>
          </w:r>
          <w:r>
            <w:instrText xml:space="preserve"> DOCPROPERTY  OTID  \* MERGEFORMAT </w:instrText>
          </w:r>
          <w:r>
            <w:fldChar w:fldCharType="separate"/>
          </w:r>
          <w:r w:rsidR="00775AD1">
            <w:t>21.123.148</w:t>
          </w:r>
          <w:r>
            <w:fldChar w:fldCharType="end"/>
          </w:r>
        </w:p>
      </w:tc>
    </w:tr>
    <w:tr w:rsidR="00A22893" w14:paraId="4B524609" w14:textId="77777777" w:rsidTr="009C1E9A">
      <w:trPr>
        <w:cantSplit/>
      </w:trPr>
      <w:tc>
        <w:tcPr>
          <w:tcW w:w="0" w:type="pct"/>
        </w:tcPr>
        <w:p w14:paraId="717CBDC2" w14:textId="77777777" w:rsidR="008364C7" w:rsidRDefault="008364C7" w:rsidP="009C1E9A">
          <w:pPr>
            <w:pStyle w:val="Footer"/>
            <w:tabs>
              <w:tab w:val="clear" w:pos="4320"/>
              <w:tab w:val="clear" w:pos="8640"/>
              <w:tab w:val="left" w:pos="2865"/>
            </w:tabs>
          </w:pPr>
        </w:p>
      </w:tc>
      <w:tc>
        <w:tcPr>
          <w:tcW w:w="2395" w:type="pct"/>
        </w:tcPr>
        <w:p w14:paraId="59889CBB" w14:textId="77777777" w:rsidR="008364C7" w:rsidRPr="009C1E9A" w:rsidRDefault="008364C7" w:rsidP="009C1E9A">
          <w:pPr>
            <w:pStyle w:val="Footer"/>
            <w:tabs>
              <w:tab w:val="clear" w:pos="4320"/>
              <w:tab w:val="clear" w:pos="8640"/>
              <w:tab w:val="left" w:pos="2865"/>
            </w:tabs>
            <w:rPr>
              <w:rFonts w:ascii="Shruti" w:hAnsi="Shruti"/>
              <w:sz w:val="22"/>
            </w:rPr>
          </w:pPr>
        </w:p>
      </w:tc>
      <w:tc>
        <w:tcPr>
          <w:tcW w:w="2453" w:type="pct"/>
        </w:tcPr>
        <w:p w14:paraId="68F1A971" w14:textId="77777777" w:rsidR="008364C7" w:rsidRDefault="008364C7" w:rsidP="006D504F">
          <w:pPr>
            <w:pStyle w:val="Footer"/>
            <w:rPr>
              <w:rStyle w:val="PageNumber"/>
            </w:rPr>
          </w:pPr>
        </w:p>
        <w:p w14:paraId="19FE4964" w14:textId="77777777" w:rsidR="008364C7" w:rsidRDefault="008364C7" w:rsidP="009C1E9A">
          <w:pPr>
            <w:pStyle w:val="Footer"/>
            <w:tabs>
              <w:tab w:val="clear" w:pos="8640"/>
              <w:tab w:val="right" w:pos="9360"/>
            </w:tabs>
            <w:jc w:val="right"/>
          </w:pPr>
        </w:p>
      </w:tc>
    </w:tr>
    <w:tr w:rsidR="00A22893" w14:paraId="2C634243" w14:textId="77777777" w:rsidTr="009C1E9A">
      <w:trPr>
        <w:cantSplit/>
        <w:trHeight w:val="323"/>
      </w:trPr>
      <w:tc>
        <w:tcPr>
          <w:tcW w:w="0" w:type="pct"/>
          <w:gridSpan w:val="3"/>
        </w:tcPr>
        <w:p w14:paraId="2E55B6C4" w14:textId="55FA1AA1" w:rsidR="008364C7" w:rsidRDefault="00F25C8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75AD1">
            <w:rPr>
              <w:rStyle w:val="PageNumber"/>
              <w:noProof/>
            </w:rPr>
            <w:t>2</w:t>
          </w:r>
          <w:r>
            <w:rPr>
              <w:rStyle w:val="PageNumber"/>
            </w:rPr>
            <w:fldChar w:fldCharType="end"/>
          </w:r>
        </w:p>
        <w:p w14:paraId="29513B78" w14:textId="77777777" w:rsidR="008364C7" w:rsidRDefault="008364C7" w:rsidP="009C1E9A">
          <w:pPr>
            <w:pStyle w:val="Footer"/>
            <w:tabs>
              <w:tab w:val="clear" w:pos="8640"/>
              <w:tab w:val="right" w:pos="9360"/>
            </w:tabs>
            <w:jc w:val="center"/>
          </w:pPr>
        </w:p>
      </w:tc>
    </w:tr>
  </w:tbl>
  <w:p w14:paraId="76F1CBBE" w14:textId="77777777" w:rsidR="008364C7" w:rsidRPr="00FF6F72" w:rsidRDefault="008364C7"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03FA1" w14:textId="77777777" w:rsidR="008364C7" w:rsidRDefault="00836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4B7A1" w14:textId="77777777" w:rsidR="00000000" w:rsidRDefault="00F25C87">
      <w:r>
        <w:separator/>
      </w:r>
    </w:p>
  </w:footnote>
  <w:footnote w:type="continuationSeparator" w:id="0">
    <w:p w14:paraId="4CF868A3" w14:textId="77777777" w:rsidR="00000000" w:rsidRDefault="00F2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2351D" w14:textId="77777777" w:rsidR="008364C7" w:rsidRDefault="00836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3176" w14:textId="77777777" w:rsidR="008364C7" w:rsidRDefault="00836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33E2" w14:textId="77777777" w:rsidR="008364C7" w:rsidRDefault="00836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1222"/>
    <w:multiLevelType w:val="hybridMultilevel"/>
    <w:tmpl w:val="8F147698"/>
    <w:lvl w:ilvl="0" w:tplc="2E48FFB4">
      <w:start w:val="1"/>
      <w:numFmt w:val="bullet"/>
      <w:lvlText w:val=""/>
      <w:lvlJc w:val="left"/>
      <w:pPr>
        <w:tabs>
          <w:tab w:val="num" w:pos="720"/>
        </w:tabs>
        <w:ind w:left="720" w:hanging="360"/>
      </w:pPr>
      <w:rPr>
        <w:rFonts w:ascii="Symbol" w:hAnsi="Symbol" w:hint="default"/>
      </w:rPr>
    </w:lvl>
    <w:lvl w:ilvl="1" w:tplc="42A88414">
      <w:start w:val="1"/>
      <w:numFmt w:val="bullet"/>
      <w:lvlText w:val="o"/>
      <w:lvlJc w:val="left"/>
      <w:pPr>
        <w:ind w:left="1440" w:hanging="360"/>
      </w:pPr>
      <w:rPr>
        <w:rFonts w:ascii="Courier New" w:hAnsi="Courier New" w:cs="Courier New" w:hint="default"/>
      </w:rPr>
    </w:lvl>
    <w:lvl w:ilvl="2" w:tplc="62B6750C" w:tentative="1">
      <w:start w:val="1"/>
      <w:numFmt w:val="bullet"/>
      <w:lvlText w:val=""/>
      <w:lvlJc w:val="left"/>
      <w:pPr>
        <w:ind w:left="2160" w:hanging="360"/>
      </w:pPr>
      <w:rPr>
        <w:rFonts w:ascii="Wingdings" w:hAnsi="Wingdings" w:hint="default"/>
      </w:rPr>
    </w:lvl>
    <w:lvl w:ilvl="3" w:tplc="E71C9F38" w:tentative="1">
      <w:start w:val="1"/>
      <w:numFmt w:val="bullet"/>
      <w:lvlText w:val=""/>
      <w:lvlJc w:val="left"/>
      <w:pPr>
        <w:ind w:left="2880" w:hanging="360"/>
      </w:pPr>
      <w:rPr>
        <w:rFonts w:ascii="Symbol" w:hAnsi="Symbol" w:hint="default"/>
      </w:rPr>
    </w:lvl>
    <w:lvl w:ilvl="4" w:tplc="BA32C304" w:tentative="1">
      <w:start w:val="1"/>
      <w:numFmt w:val="bullet"/>
      <w:lvlText w:val="o"/>
      <w:lvlJc w:val="left"/>
      <w:pPr>
        <w:ind w:left="3600" w:hanging="360"/>
      </w:pPr>
      <w:rPr>
        <w:rFonts w:ascii="Courier New" w:hAnsi="Courier New" w:cs="Courier New" w:hint="default"/>
      </w:rPr>
    </w:lvl>
    <w:lvl w:ilvl="5" w:tplc="E32A52F8" w:tentative="1">
      <w:start w:val="1"/>
      <w:numFmt w:val="bullet"/>
      <w:lvlText w:val=""/>
      <w:lvlJc w:val="left"/>
      <w:pPr>
        <w:ind w:left="4320" w:hanging="360"/>
      </w:pPr>
      <w:rPr>
        <w:rFonts w:ascii="Wingdings" w:hAnsi="Wingdings" w:hint="default"/>
      </w:rPr>
    </w:lvl>
    <w:lvl w:ilvl="6" w:tplc="7AF6B81C" w:tentative="1">
      <w:start w:val="1"/>
      <w:numFmt w:val="bullet"/>
      <w:lvlText w:val=""/>
      <w:lvlJc w:val="left"/>
      <w:pPr>
        <w:ind w:left="5040" w:hanging="360"/>
      </w:pPr>
      <w:rPr>
        <w:rFonts w:ascii="Symbol" w:hAnsi="Symbol" w:hint="default"/>
      </w:rPr>
    </w:lvl>
    <w:lvl w:ilvl="7" w:tplc="8668A680" w:tentative="1">
      <w:start w:val="1"/>
      <w:numFmt w:val="bullet"/>
      <w:lvlText w:val="o"/>
      <w:lvlJc w:val="left"/>
      <w:pPr>
        <w:ind w:left="5760" w:hanging="360"/>
      </w:pPr>
      <w:rPr>
        <w:rFonts w:ascii="Courier New" w:hAnsi="Courier New" w:cs="Courier New" w:hint="default"/>
      </w:rPr>
    </w:lvl>
    <w:lvl w:ilvl="8" w:tplc="2D4884E4" w:tentative="1">
      <w:start w:val="1"/>
      <w:numFmt w:val="bullet"/>
      <w:lvlText w:val=""/>
      <w:lvlJc w:val="left"/>
      <w:pPr>
        <w:ind w:left="6480" w:hanging="360"/>
      </w:pPr>
      <w:rPr>
        <w:rFonts w:ascii="Wingdings" w:hAnsi="Wingdings" w:hint="default"/>
      </w:rPr>
    </w:lvl>
  </w:abstractNum>
  <w:abstractNum w:abstractNumId="1" w15:restartNumberingAfterBreak="0">
    <w:nsid w:val="5364597D"/>
    <w:multiLevelType w:val="hybridMultilevel"/>
    <w:tmpl w:val="B9E8A0D0"/>
    <w:lvl w:ilvl="0" w:tplc="E6D4E38C">
      <w:start w:val="1"/>
      <w:numFmt w:val="bullet"/>
      <w:lvlText w:val=""/>
      <w:lvlJc w:val="left"/>
      <w:pPr>
        <w:tabs>
          <w:tab w:val="num" w:pos="720"/>
        </w:tabs>
        <w:ind w:left="720" w:hanging="360"/>
      </w:pPr>
      <w:rPr>
        <w:rFonts w:ascii="Symbol" w:hAnsi="Symbol" w:hint="default"/>
      </w:rPr>
    </w:lvl>
    <w:lvl w:ilvl="1" w:tplc="F468EC62" w:tentative="1">
      <w:start w:val="1"/>
      <w:numFmt w:val="bullet"/>
      <w:lvlText w:val="o"/>
      <w:lvlJc w:val="left"/>
      <w:pPr>
        <w:ind w:left="1440" w:hanging="360"/>
      </w:pPr>
      <w:rPr>
        <w:rFonts w:ascii="Courier New" w:hAnsi="Courier New" w:cs="Courier New" w:hint="default"/>
      </w:rPr>
    </w:lvl>
    <w:lvl w:ilvl="2" w:tplc="EA729B68" w:tentative="1">
      <w:start w:val="1"/>
      <w:numFmt w:val="bullet"/>
      <w:lvlText w:val=""/>
      <w:lvlJc w:val="left"/>
      <w:pPr>
        <w:ind w:left="2160" w:hanging="360"/>
      </w:pPr>
      <w:rPr>
        <w:rFonts w:ascii="Wingdings" w:hAnsi="Wingdings" w:hint="default"/>
      </w:rPr>
    </w:lvl>
    <w:lvl w:ilvl="3" w:tplc="70B0937C" w:tentative="1">
      <w:start w:val="1"/>
      <w:numFmt w:val="bullet"/>
      <w:lvlText w:val=""/>
      <w:lvlJc w:val="left"/>
      <w:pPr>
        <w:ind w:left="2880" w:hanging="360"/>
      </w:pPr>
      <w:rPr>
        <w:rFonts w:ascii="Symbol" w:hAnsi="Symbol" w:hint="default"/>
      </w:rPr>
    </w:lvl>
    <w:lvl w:ilvl="4" w:tplc="931E7D08" w:tentative="1">
      <w:start w:val="1"/>
      <w:numFmt w:val="bullet"/>
      <w:lvlText w:val="o"/>
      <w:lvlJc w:val="left"/>
      <w:pPr>
        <w:ind w:left="3600" w:hanging="360"/>
      </w:pPr>
      <w:rPr>
        <w:rFonts w:ascii="Courier New" w:hAnsi="Courier New" w:cs="Courier New" w:hint="default"/>
      </w:rPr>
    </w:lvl>
    <w:lvl w:ilvl="5" w:tplc="286861E0" w:tentative="1">
      <w:start w:val="1"/>
      <w:numFmt w:val="bullet"/>
      <w:lvlText w:val=""/>
      <w:lvlJc w:val="left"/>
      <w:pPr>
        <w:ind w:left="4320" w:hanging="360"/>
      </w:pPr>
      <w:rPr>
        <w:rFonts w:ascii="Wingdings" w:hAnsi="Wingdings" w:hint="default"/>
      </w:rPr>
    </w:lvl>
    <w:lvl w:ilvl="6" w:tplc="5268CDAA" w:tentative="1">
      <w:start w:val="1"/>
      <w:numFmt w:val="bullet"/>
      <w:lvlText w:val=""/>
      <w:lvlJc w:val="left"/>
      <w:pPr>
        <w:ind w:left="5040" w:hanging="360"/>
      </w:pPr>
      <w:rPr>
        <w:rFonts w:ascii="Symbol" w:hAnsi="Symbol" w:hint="default"/>
      </w:rPr>
    </w:lvl>
    <w:lvl w:ilvl="7" w:tplc="6698311A" w:tentative="1">
      <w:start w:val="1"/>
      <w:numFmt w:val="bullet"/>
      <w:lvlText w:val="o"/>
      <w:lvlJc w:val="left"/>
      <w:pPr>
        <w:ind w:left="5760" w:hanging="360"/>
      </w:pPr>
      <w:rPr>
        <w:rFonts w:ascii="Courier New" w:hAnsi="Courier New" w:cs="Courier New" w:hint="default"/>
      </w:rPr>
    </w:lvl>
    <w:lvl w:ilvl="8" w:tplc="314468A2" w:tentative="1">
      <w:start w:val="1"/>
      <w:numFmt w:val="bullet"/>
      <w:lvlText w:val=""/>
      <w:lvlJc w:val="left"/>
      <w:pPr>
        <w:ind w:left="6480" w:hanging="360"/>
      </w:pPr>
      <w:rPr>
        <w:rFonts w:ascii="Wingdings" w:hAnsi="Wingdings" w:hint="default"/>
      </w:rPr>
    </w:lvl>
  </w:abstractNum>
  <w:abstractNum w:abstractNumId="2" w15:restartNumberingAfterBreak="0">
    <w:nsid w:val="5A3A29E4"/>
    <w:multiLevelType w:val="hybridMultilevel"/>
    <w:tmpl w:val="7EBA3E88"/>
    <w:lvl w:ilvl="0" w:tplc="DC1CC6A8">
      <w:start w:val="1"/>
      <w:numFmt w:val="bullet"/>
      <w:lvlText w:val=""/>
      <w:lvlJc w:val="left"/>
      <w:pPr>
        <w:tabs>
          <w:tab w:val="num" w:pos="720"/>
        </w:tabs>
        <w:ind w:left="720" w:hanging="360"/>
      </w:pPr>
      <w:rPr>
        <w:rFonts w:ascii="Symbol" w:hAnsi="Symbol" w:hint="default"/>
      </w:rPr>
    </w:lvl>
    <w:lvl w:ilvl="1" w:tplc="BEDEFB44" w:tentative="1">
      <w:start w:val="1"/>
      <w:numFmt w:val="bullet"/>
      <w:lvlText w:val="o"/>
      <w:lvlJc w:val="left"/>
      <w:pPr>
        <w:ind w:left="1440" w:hanging="360"/>
      </w:pPr>
      <w:rPr>
        <w:rFonts w:ascii="Courier New" w:hAnsi="Courier New" w:cs="Courier New" w:hint="default"/>
      </w:rPr>
    </w:lvl>
    <w:lvl w:ilvl="2" w:tplc="1E18D0B2" w:tentative="1">
      <w:start w:val="1"/>
      <w:numFmt w:val="bullet"/>
      <w:lvlText w:val=""/>
      <w:lvlJc w:val="left"/>
      <w:pPr>
        <w:ind w:left="2160" w:hanging="360"/>
      </w:pPr>
      <w:rPr>
        <w:rFonts w:ascii="Wingdings" w:hAnsi="Wingdings" w:hint="default"/>
      </w:rPr>
    </w:lvl>
    <w:lvl w:ilvl="3" w:tplc="BF4E9932" w:tentative="1">
      <w:start w:val="1"/>
      <w:numFmt w:val="bullet"/>
      <w:lvlText w:val=""/>
      <w:lvlJc w:val="left"/>
      <w:pPr>
        <w:ind w:left="2880" w:hanging="360"/>
      </w:pPr>
      <w:rPr>
        <w:rFonts w:ascii="Symbol" w:hAnsi="Symbol" w:hint="default"/>
      </w:rPr>
    </w:lvl>
    <w:lvl w:ilvl="4" w:tplc="B22CB6BC" w:tentative="1">
      <w:start w:val="1"/>
      <w:numFmt w:val="bullet"/>
      <w:lvlText w:val="o"/>
      <w:lvlJc w:val="left"/>
      <w:pPr>
        <w:ind w:left="3600" w:hanging="360"/>
      </w:pPr>
      <w:rPr>
        <w:rFonts w:ascii="Courier New" w:hAnsi="Courier New" w:cs="Courier New" w:hint="default"/>
      </w:rPr>
    </w:lvl>
    <w:lvl w:ilvl="5" w:tplc="ECD2D71E" w:tentative="1">
      <w:start w:val="1"/>
      <w:numFmt w:val="bullet"/>
      <w:lvlText w:val=""/>
      <w:lvlJc w:val="left"/>
      <w:pPr>
        <w:ind w:left="4320" w:hanging="360"/>
      </w:pPr>
      <w:rPr>
        <w:rFonts w:ascii="Wingdings" w:hAnsi="Wingdings" w:hint="default"/>
      </w:rPr>
    </w:lvl>
    <w:lvl w:ilvl="6" w:tplc="3D9E6A1E" w:tentative="1">
      <w:start w:val="1"/>
      <w:numFmt w:val="bullet"/>
      <w:lvlText w:val=""/>
      <w:lvlJc w:val="left"/>
      <w:pPr>
        <w:ind w:left="5040" w:hanging="360"/>
      </w:pPr>
      <w:rPr>
        <w:rFonts w:ascii="Symbol" w:hAnsi="Symbol" w:hint="default"/>
      </w:rPr>
    </w:lvl>
    <w:lvl w:ilvl="7" w:tplc="9C04EDBE" w:tentative="1">
      <w:start w:val="1"/>
      <w:numFmt w:val="bullet"/>
      <w:lvlText w:val="o"/>
      <w:lvlJc w:val="left"/>
      <w:pPr>
        <w:ind w:left="5760" w:hanging="360"/>
      </w:pPr>
      <w:rPr>
        <w:rFonts w:ascii="Courier New" w:hAnsi="Courier New" w:cs="Courier New" w:hint="default"/>
      </w:rPr>
    </w:lvl>
    <w:lvl w:ilvl="8" w:tplc="2BD4D18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0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08DF"/>
    <w:rsid w:val="0006104C"/>
    <w:rsid w:val="00061C36"/>
    <w:rsid w:val="00064BF2"/>
    <w:rsid w:val="000667BA"/>
    <w:rsid w:val="000676A7"/>
    <w:rsid w:val="00073914"/>
    <w:rsid w:val="00074236"/>
    <w:rsid w:val="000746BD"/>
    <w:rsid w:val="00076D7D"/>
    <w:rsid w:val="00080D95"/>
    <w:rsid w:val="00086B8C"/>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266A8"/>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F6E"/>
    <w:rsid w:val="002874E3"/>
    <w:rsid w:val="00287656"/>
    <w:rsid w:val="00291518"/>
    <w:rsid w:val="00296FF0"/>
    <w:rsid w:val="002A17C0"/>
    <w:rsid w:val="002A1A24"/>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4C80"/>
    <w:rsid w:val="002E7DF9"/>
    <w:rsid w:val="002F097B"/>
    <w:rsid w:val="002F3111"/>
    <w:rsid w:val="002F4AEC"/>
    <w:rsid w:val="002F795D"/>
    <w:rsid w:val="00300823"/>
    <w:rsid w:val="00300D7F"/>
    <w:rsid w:val="00301638"/>
    <w:rsid w:val="003037BF"/>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CEB"/>
    <w:rsid w:val="003D726D"/>
    <w:rsid w:val="003E0875"/>
    <w:rsid w:val="003E0BB8"/>
    <w:rsid w:val="003E2100"/>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65053"/>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055"/>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32"/>
    <w:rsid w:val="004F64F6"/>
    <w:rsid w:val="004F6507"/>
    <w:rsid w:val="004F69C0"/>
    <w:rsid w:val="00500121"/>
    <w:rsid w:val="005017AC"/>
    <w:rsid w:val="00501E8A"/>
    <w:rsid w:val="00505121"/>
    <w:rsid w:val="005053D4"/>
    <w:rsid w:val="00505806"/>
    <w:rsid w:val="00505C04"/>
    <w:rsid w:val="00505F1B"/>
    <w:rsid w:val="005073E8"/>
    <w:rsid w:val="00510503"/>
    <w:rsid w:val="0051324D"/>
    <w:rsid w:val="00515466"/>
    <w:rsid w:val="005154F7"/>
    <w:rsid w:val="005159DE"/>
    <w:rsid w:val="00520FC9"/>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1FE3"/>
    <w:rsid w:val="005847EF"/>
    <w:rsid w:val="005851E6"/>
    <w:rsid w:val="005878B7"/>
    <w:rsid w:val="00592C9A"/>
    <w:rsid w:val="00593DF8"/>
    <w:rsid w:val="00595745"/>
    <w:rsid w:val="005A0E18"/>
    <w:rsid w:val="005A12A5"/>
    <w:rsid w:val="005A3790"/>
    <w:rsid w:val="005A3CCB"/>
    <w:rsid w:val="005A6D13"/>
    <w:rsid w:val="005B031F"/>
    <w:rsid w:val="005B274C"/>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B97"/>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0605"/>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2954"/>
    <w:rsid w:val="006F365D"/>
    <w:rsid w:val="006F4BB0"/>
    <w:rsid w:val="007026ED"/>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EAA"/>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5AD1"/>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364C7"/>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0899"/>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31AE"/>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AF2"/>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731"/>
    <w:rsid w:val="00A02D81"/>
    <w:rsid w:val="00A03F54"/>
    <w:rsid w:val="00A0432D"/>
    <w:rsid w:val="00A07689"/>
    <w:rsid w:val="00A07906"/>
    <w:rsid w:val="00A10908"/>
    <w:rsid w:val="00A12330"/>
    <w:rsid w:val="00A1259F"/>
    <w:rsid w:val="00A1446F"/>
    <w:rsid w:val="00A151B5"/>
    <w:rsid w:val="00A220FF"/>
    <w:rsid w:val="00A227E0"/>
    <w:rsid w:val="00A22893"/>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CCB"/>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BB4"/>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D59"/>
    <w:rsid w:val="00B95BC8"/>
    <w:rsid w:val="00B96E87"/>
    <w:rsid w:val="00BA146A"/>
    <w:rsid w:val="00BA32EE"/>
    <w:rsid w:val="00BB1904"/>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17F9"/>
    <w:rsid w:val="00D42277"/>
    <w:rsid w:val="00D43C59"/>
    <w:rsid w:val="00D44ADE"/>
    <w:rsid w:val="00D4624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1FB2"/>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6CE6"/>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87"/>
    <w:rsid w:val="00F25CC2"/>
    <w:rsid w:val="00F27573"/>
    <w:rsid w:val="00F31876"/>
    <w:rsid w:val="00F31C67"/>
    <w:rsid w:val="00F34309"/>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0FA"/>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ED3896-F53B-4C64-AECC-DBB68E37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D31AE"/>
    <w:rPr>
      <w:sz w:val="16"/>
      <w:szCs w:val="16"/>
    </w:rPr>
  </w:style>
  <w:style w:type="paragraph" w:styleId="CommentText">
    <w:name w:val="annotation text"/>
    <w:basedOn w:val="Normal"/>
    <w:link w:val="CommentTextChar"/>
    <w:semiHidden/>
    <w:unhideWhenUsed/>
    <w:rsid w:val="008D31AE"/>
    <w:rPr>
      <w:sz w:val="20"/>
      <w:szCs w:val="20"/>
    </w:rPr>
  </w:style>
  <w:style w:type="character" w:customStyle="1" w:styleId="CommentTextChar">
    <w:name w:val="Comment Text Char"/>
    <w:basedOn w:val="DefaultParagraphFont"/>
    <w:link w:val="CommentText"/>
    <w:semiHidden/>
    <w:rsid w:val="008D31AE"/>
  </w:style>
  <w:style w:type="paragraph" w:styleId="CommentSubject">
    <w:name w:val="annotation subject"/>
    <w:basedOn w:val="CommentText"/>
    <w:next w:val="CommentText"/>
    <w:link w:val="CommentSubjectChar"/>
    <w:semiHidden/>
    <w:unhideWhenUsed/>
    <w:rsid w:val="008D31AE"/>
    <w:rPr>
      <w:b/>
      <w:bCs/>
    </w:rPr>
  </w:style>
  <w:style w:type="character" w:customStyle="1" w:styleId="CommentSubjectChar">
    <w:name w:val="Comment Subject Char"/>
    <w:basedOn w:val="CommentTextChar"/>
    <w:link w:val="CommentSubject"/>
    <w:semiHidden/>
    <w:rsid w:val="008D31AE"/>
    <w:rPr>
      <w:b/>
      <w:bCs/>
    </w:rPr>
  </w:style>
  <w:style w:type="paragraph" w:styleId="Revision">
    <w:name w:val="Revision"/>
    <w:hidden/>
    <w:uiPriority w:val="99"/>
    <w:semiHidden/>
    <w:rsid w:val="006F29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Words>
  <Characters>4873</Characters>
  <Application>Microsoft Office Word</Application>
  <DocSecurity>4</DocSecurity>
  <Lines>101</Lines>
  <Paragraphs>31</Paragraphs>
  <ScaleCrop>false</ScaleCrop>
  <HeadingPairs>
    <vt:vector size="2" baseType="variant">
      <vt:variant>
        <vt:lpstr>Title</vt:lpstr>
      </vt:variant>
      <vt:variant>
        <vt:i4>1</vt:i4>
      </vt:variant>
    </vt:vector>
  </HeadingPairs>
  <TitlesOfParts>
    <vt:vector size="1" baseType="lpstr">
      <vt:lpstr>BA - HB02144 (Committee Report (Unamended))</vt:lpstr>
    </vt:vector>
  </TitlesOfParts>
  <Company>State of Texas</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23374</dc:subject>
  <dc:creator>State of Texas</dc:creator>
  <dc:description>HB 2144 by Harris-(H)Judiciary &amp; Civil Jurisprudence</dc:description>
  <cp:lastModifiedBy>Stacey Nicchio</cp:lastModifiedBy>
  <cp:revision>2</cp:revision>
  <cp:lastPrinted>2003-11-26T17:21:00Z</cp:lastPrinted>
  <dcterms:created xsi:type="dcterms:W3CDTF">2021-05-03T18:19:00Z</dcterms:created>
  <dcterms:modified xsi:type="dcterms:W3CDTF">2021-05-03T18:19:00Z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21.123.148</vt:lpwstr>
  </property>
</Properties>
</file>