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B324D" w14:paraId="0840866D" w14:textId="77777777" w:rsidTr="00345119">
        <w:tc>
          <w:tcPr>
            <w:tcW w:w="9576" w:type="dxa"/>
            <w:noWrap/>
          </w:tcPr>
          <w:p w14:paraId="249F244E" w14:textId="77777777" w:rsidR="008423E4" w:rsidRPr="0022177D" w:rsidRDefault="001877A5" w:rsidP="004F2230">
            <w:pPr>
              <w:pStyle w:val="Heading1"/>
              <w:contextualSpacing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71BF04" w14:textId="77777777" w:rsidR="008423E4" w:rsidRPr="0022177D" w:rsidRDefault="008423E4" w:rsidP="004F2230">
      <w:pPr>
        <w:contextualSpacing/>
        <w:jc w:val="center"/>
      </w:pPr>
    </w:p>
    <w:p w14:paraId="5CB9D7DD" w14:textId="77777777" w:rsidR="008423E4" w:rsidRPr="00B31F0E" w:rsidRDefault="008423E4" w:rsidP="004F2230">
      <w:pPr>
        <w:contextualSpacing/>
      </w:pPr>
    </w:p>
    <w:p w14:paraId="609B2A33" w14:textId="77777777" w:rsidR="008423E4" w:rsidRPr="00742794" w:rsidRDefault="008423E4" w:rsidP="004F2230">
      <w:pPr>
        <w:tabs>
          <w:tab w:val="right" w:pos="9360"/>
        </w:tabs>
        <w:contextualSpacing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324D" w14:paraId="3E4C9753" w14:textId="77777777" w:rsidTr="00345119">
        <w:tc>
          <w:tcPr>
            <w:tcW w:w="9576" w:type="dxa"/>
          </w:tcPr>
          <w:p w14:paraId="3BAEDC77" w14:textId="0A7FBF9B" w:rsidR="008423E4" w:rsidRPr="00861995" w:rsidRDefault="001877A5" w:rsidP="004F2230">
            <w:pPr>
              <w:contextualSpacing/>
              <w:jc w:val="right"/>
            </w:pPr>
            <w:r>
              <w:t>C.S.H.B. 2172</w:t>
            </w:r>
          </w:p>
        </w:tc>
      </w:tr>
      <w:tr w:rsidR="006B324D" w14:paraId="5123E979" w14:textId="77777777" w:rsidTr="00345119">
        <w:tc>
          <w:tcPr>
            <w:tcW w:w="9576" w:type="dxa"/>
          </w:tcPr>
          <w:p w14:paraId="1B5619AE" w14:textId="11B811B8" w:rsidR="008423E4" w:rsidRPr="00861995" w:rsidRDefault="001877A5" w:rsidP="004F2230">
            <w:pPr>
              <w:contextualSpacing/>
              <w:jc w:val="right"/>
            </w:pPr>
            <w:r>
              <w:t xml:space="preserve">By: </w:t>
            </w:r>
            <w:r w:rsidR="00FF20DC">
              <w:t>Morales, Eddie</w:t>
            </w:r>
          </w:p>
        </w:tc>
      </w:tr>
      <w:tr w:rsidR="006B324D" w14:paraId="1F1915F2" w14:textId="77777777" w:rsidTr="00345119">
        <w:tc>
          <w:tcPr>
            <w:tcW w:w="9576" w:type="dxa"/>
          </w:tcPr>
          <w:p w14:paraId="69C0A8D0" w14:textId="6E0D4CBE" w:rsidR="008423E4" w:rsidRPr="00861995" w:rsidRDefault="001877A5" w:rsidP="004F2230">
            <w:pPr>
              <w:contextualSpacing/>
              <w:jc w:val="right"/>
            </w:pPr>
            <w:r>
              <w:t>Ways &amp; Means</w:t>
            </w:r>
          </w:p>
        </w:tc>
      </w:tr>
      <w:tr w:rsidR="006B324D" w14:paraId="5D994547" w14:textId="77777777" w:rsidTr="00345119">
        <w:tc>
          <w:tcPr>
            <w:tcW w:w="9576" w:type="dxa"/>
          </w:tcPr>
          <w:p w14:paraId="206BAB59" w14:textId="35143A76" w:rsidR="008423E4" w:rsidRDefault="001877A5" w:rsidP="004F2230">
            <w:pPr>
              <w:contextualSpacing/>
              <w:jc w:val="right"/>
            </w:pPr>
            <w:r>
              <w:t>Committee Report (Substituted)</w:t>
            </w:r>
          </w:p>
        </w:tc>
      </w:tr>
    </w:tbl>
    <w:p w14:paraId="5C03ADBA" w14:textId="77777777" w:rsidR="008423E4" w:rsidRDefault="008423E4" w:rsidP="004F2230">
      <w:pPr>
        <w:tabs>
          <w:tab w:val="right" w:pos="9360"/>
        </w:tabs>
        <w:contextualSpacing/>
      </w:pPr>
    </w:p>
    <w:p w14:paraId="142C98DB" w14:textId="77777777" w:rsidR="008423E4" w:rsidRDefault="008423E4" w:rsidP="004F2230">
      <w:pPr>
        <w:contextualSpacing/>
      </w:pPr>
    </w:p>
    <w:p w14:paraId="0DF0CCB3" w14:textId="77777777" w:rsidR="008423E4" w:rsidRDefault="008423E4" w:rsidP="004F2230">
      <w:pPr>
        <w:contextualSpacing/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B324D" w14:paraId="70A831C8" w14:textId="77777777" w:rsidTr="00745731">
        <w:tc>
          <w:tcPr>
            <w:tcW w:w="9360" w:type="dxa"/>
          </w:tcPr>
          <w:p w14:paraId="69E998E9" w14:textId="77777777" w:rsidR="008423E4" w:rsidRPr="00A8133F" w:rsidRDefault="001877A5" w:rsidP="004F2230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9C1117" w14:textId="77777777" w:rsidR="008423E4" w:rsidRDefault="008423E4" w:rsidP="004F2230">
            <w:pPr>
              <w:contextualSpacing/>
            </w:pPr>
          </w:p>
          <w:p w14:paraId="1B486F28" w14:textId="17FC7E69" w:rsidR="008423E4" w:rsidRDefault="001877A5" w:rsidP="004F2230">
            <w:pPr>
              <w:pStyle w:val="Header"/>
              <w:contextualSpacing/>
              <w:jc w:val="both"/>
            </w:pPr>
            <w:r>
              <w:t>In Texas, many counties impose an additional county hotel occupancy tax for the use or possession of a hotel room located in the</w:t>
            </w:r>
            <w:r>
              <w:t xml:space="preserve"> county, the revenue of which may be used </w:t>
            </w:r>
            <w:r w:rsidR="00FD4E2D">
              <w:t>for certain purposes, such as</w:t>
            </w:r>
            <w:r>
              <w:t xml:space="preserve"> fund</w:t>
            </w:r>
            <w:r w:rsidR="00FD4E2D">
              <w:t>ing</w:t>
            </w:r>
            <w:r>
              <w:t xml:space="preserve"> a variety of projects or promot</w:t>
            </w:r>
            <w:r w:rsidR="00FD4E2D">
              <w:t>ing</w:t>
            </w:r>
            <w:r>
              <w:t xml:space="preserve"> tourism in the area. However, se</w:t>
            </w:r>
            <w:r w:rsidR="00A90576">
              <w:t xml:space="preserve">veral of these counties are prohibited from imposing a hotel occupancy tax in relation to hotels that are </w:t>
            </w:r>
            <w:r w:rsidR="00FD4E2D">
              <w:t xml:space="preserve">also </w:t>
            </w:r>
            <w:r w:rsidR="00A90576">
              <w:t xml:space="preserve">subject to a municipal hotel occupancy tax. It has been suggested that this prohibition </w:t>
            </w:r>
            <w:r w:rsidR="002D466F">
              <w:t>negatively impacts</w:t>
            </w:r>
            <w:r w:rsidR="00A90576">
              <w:t xml:space="preserve"> counties looking to make certain repairs and improvements to county infrastructure. C.S.H.B. 2172 seeks to address this issue by authorizing </w:t>
            </w:r>
            <w:r w:rsidR="002D2A5E">
              <w:t xml:space="preserve">certain counties </w:t>
            </w:r>
            <w:r w:rsidR="00A90576">
              <w:t xml:space="preserve">to impose an additional hotel occupancy tax on hotels </w:t>
            </w:r>
            <w:r w:rsidR="00FD4E2D">
              <w:t xml:space="preserve">currently </w:t>
            </w:r>
            <w:r w:rsidR="00A90576">
              <w:t>subject to a municipal hotel occupancy tax and by authorizing the use of that revenue for making repairs and improvements to the county airport</w:t>
            </w:r>
            <w:r w:rsidR="00FF20DC">
              <w:t>.</w:t>
            </w:r>
          </w:p>
          <w:p w14:paraId="44DD162A" w14:textId="77777777" w:rsidR="008423E4" w:rsidRPr="00E26B13" w:rsidRDefault="008423E4" w:rsidP="004F2230">
            <w:pPr>
              <w:contextualSpacing/>
              <w:rPr>
                <w:b/>
              </w:rPr>
            </w:pPr>
          </w:p>
        </w:tc>
      </w:tr>
      <w:tr w:rsidR="006B324D" w14:paraId="39F3131C" w14:textId="77777777" w:rsidTr="00745731">
        <w:tc>
          <w:tcPr>
            <w:tcW w:w="9360" w:type="dxa"/>
          </w:tcPr>
          <w:p w14:paraId="7F8AAE67" w14:textId="77777777" w:rsidR="0017725B" w:rsidRDefault="001877A5" w:rsidP="004F2230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51A33A" w14:textId="77777777" w:rsidR="0017725B" w:rsidRDefault="0017725B" w:rsidP="004F2230">
            <w:pPr>
              <w:contextualSpacing/>
              <w:rPr>
                <w:b/>
                <w:u w:val="single"/>
              </w:rPr>
            </w:pPr>
          </w:p>
          <w:p w14:paraId="04EF9AA7" w14:textId="77777777" w:rsidR="00E56468" w:rsidRPr="00E56468" w:rsidRDefault="001877A5" w:rsidP="004F2230">
            <w:pPr>
              <w:contextualSpacing/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14:paraId="770C9D15" w14:textId="77777777" w:rsidR="0017725B" w:rsidRPr="0017725B" w:rsidRDefault="0017725B" w:rsidP="004F2230">
            <w:pPr>
              <w:contextualSpacing/>
              <w:rPr>
                <w:b/>
                <w:u w:val="single"/>
              </w:rPr>
            </w:pPr>
          </w:p>
        </w:tc>
      </w:tr>
      <w:tr w:rsidR="006B324D" w14:paraId="667CE02E" w14:textId="77777777" w:rsidTr="00745731">
        <w:tc>
          <w:tcPr>
            <w:tcW w:w="9360" w:type="dxa"/>
          </w:tcPr>
          <w:p w14:paraId="3D30E2FA" w14:textId="77777777" w:rsidR="008423E4" w:rsidRPr="00A8133F" w:rsidRDefault="001877A5" w:rsidP="004F2230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7806771" w14:textId="77777777" w:rsidR="008423E4" w:rsidRDefault="008423E4" w:rsidP="004F2230">
            <w:pPr>
              <w:contextualSpacing/>
            </w:pPr>
          </w:p>
          <w:p w14:paraId="340D0CA1" w14:textId="77777777" w:rsidR="00E56468" w:rsidRDefault="001877A5" w:rsidP="004F2230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3AA4744" w14:textId="77777777" w:rsidR="008423E4" w:rsidRPr="00E21FDC" w:rsidRDefault="008423E4" w:rsidP="004F2230">
            <w:pPr>
              <w:contextualSpacing/>
              <w:rPr>
                <w:b/>
              </w:rPr>
            </w:pPr>
          </w:p>
        </w:tc>
      </w:tr>
      <w:tr w:rsidR="006B324D" w14:paraId="0A93AEC7" w14:textId="77777777" w:rsidTr="00745731">
        <w:tc>
          <w:tcPr>
            <w:tcW w:w="9360" w:type="dxa"/>
          </w:tcPr>
          <w:p w14:paraId="5FB134E1" w14:textId="77777777" w:rsidR="008423E4" w:rsidRPr="00A8133F" w:rsidRDefault="001877A5" w:rsidP="004F2230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C46725B" w14:textId="77777777" w:rsidR="008423E4" w:rsidRDefault="008423E4" w:rsidP="004F2230">
            <w:pPr>
              <w:contextualSpacing/>
            </w:pPr>
          </w:p>
          <w:p w14:paraId="259DE600" w14:textId="787574DC" w:rsidR="009C36CD" w:rsidRPr="009C36CD" w:rsidRDefault="001877A5" w:rsidP="004F2230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</w:t>
            </w:r>
            <w:r w:rsidR="00E56468">
              <w:t xml:space="preserve">H.B. 2172 amends the Tax Code to </w:t>
            </w:r>
            <w:r w:rsidR="000E31A9">
              <w:t xml:space="preserve">authorize a county in which an Indian reservation under jurisdiction of the U.S. government is located to impose a county hotel occupancy tax </w:t>
            </w:r>
            <w:r w:rsidR="00C40A05">
              <w:t xml:space="preserve">applicable to </w:t>
            </w:r>
            <w:r w:rsidR="000E31A9">
              <w:t>hotel</w:t>
            </w:r>
            <w:r w:rsidR="00C40A05">
              <w:t>s</w:t>
            </w:r>
            <w:r w:rsidR="000E31A9">
              <w:t xml:space="preserve"> located in a municipality that imposes a municipal hotel occupancy</w:t>
            </w:r>
            <w:r w:rsidR="00C40A05">
              <w:t xml:space="preserve"> tax</w:t>
            </w:r>
            <w:r w:rsidR="000E31A9">
              <w:t>. The bill caps the county hotel occupancy tax rate imposed by the county at 2 percent of the pri</w:t>
            </w:r>
            <w:r w:rsidR="00C40A05">
              <w:t>ce paid for a room in the hotel</w:t>
            </w:r>
            <w:r w:rsidR="004A6D83">
              <w:t>, the revenue of which may be used to make</w:t>
            </w:r>
            <w:r w:rsidR="00C40A05">
              <w:t xml:space="preserve"> repairs and</w:t>
            </w:r>
            <w:r w:rsidR="004A6D83">
              <w:t xml:space="preserve"> improvements to </w:t>
            </w:r>
            <w:r w:rsidR="00C40A05">
              <w:t xml:space="preserve">the county </w:t>
            </w:r>
            <w:r w:rsidR="00E56468">
              <w:t>airport</w:t>
            </w:r>
            <w:r w:rsidR="00D66D1D">
              <w:t xml:space="preserve"> </w:t>
            </w:r>
            <w:r w:rsidR="00C40A05">
              <w:t>or to provide reimbursement for repairs and improvements to the airport</w:t>
            </w:r>
            <w:r w:rsidR="004A6D83">
              <w:t>.</w:t>
            </w:r>
            <w:r w:rsidR="00B049E8">
              <w:t xml:space="preserve"> The bill sets out certain limitations regarding the use of such revenue.</w:t>
            </w:r>
          </w:p>
          <w:p w14:paraId="358D58C8" w14:textId="77777777" w:rsidR="008423E4" w:rsidRPr="00835628" w:rsidRDefault="008423E4" w:rsidP="004F2230">
            <w:pPr>
              <w:contextualSpacing/>
              <w:rPr>
                <w:b/>
              </w:rPr>
            </w:pPr>
          </w:p>
        </w:tc>
      </w:tr>
      <w:tr w:rsidR="006B324D" w14:paraId="6E6EBCEF" w14:textId="77777777" w:rsidTr="00745731">
        <w:tc>
          <w:tcPr>
            <w:tcW w:w="9360" w:type="dxa"/>
          </w:tcPr>
          <w:p w14:paraId="5EA4ABA8" w14:textId="77777777" w:rsidR="008423E4" w:rsidRPr="00A8133F" w:rsidRDefault="001877A5" w:rsidP="004F2230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5A420A" w14:textId="77777777" w:rsidR="008423E4" w:rsidRDefault="008423E4" w:rsidP="004F2230">
            <w:pPr>
              <w:contextualSpacing/>
            </w:pPr>
          </w:p>
          <w:p w14:paraId="17A47D0F" w14:textId="77777777" w:rsidR="008423E4" w:rsidRPr="003624F2" w:rsidRDefault="001877A5" w:rsidP="004F2230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September 1, 2021.</w:t>
            </w:r>
          </w:p>
          <w:p w14:paraId="1C5E7301" w14:textId="77777777" w:rsidR="008423E4" w:rsidRPr="00233FDB" w:rsidRDefault="008423E4" w:rsidP="004F2230">
            <w:pPr>
              <w:contextualSpacing/>
              <w:rPr>
                <w:b/>
              </w:rPr>
            </w:pPr>
          </w:p>
        </w:tc>
      </w:tr>
      <w:tr w:rsidR="006B324D" w14:paraId="55581074" w14:textId="77777777" w:rsidTr="00745731">
        <w:tc>
          <w:tcPr>
            <w:tcW w:w="9360" w:type="dxa"/>
          </w:tcPr>
          <w:p w14:paraId="464A3EA0" w14:textId="77777777" w:rsidR="00FF20DC" w:rsidRDefault="001877A5" w:rsidP="004F2230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C137B88" w14:textId="77777777" w:rsidR="008E4C3E" w:rsidRDefault="008E4C3E" w:rsidP="004F2230">
            <w:pPr>
              <w:contextualSpacing/>
              <w:jc w:val="both"/>
            </w:pPr>
          </w:p>
          <w:p w14:paraId="00D7A77C" w14:textId="77777777" w:rsidR="00A63B5F" w:rsidRDefault="001877A5" w:rsidP="004F2230">
            <w:pPr>
              <w:contextualSpacing/>
              <w:jc w:val="both"/>
            </w:pPr>
            <w:r>
              <w:t>While C.S.H.B. 2172 may differ from the original in minor or nonsubstantive ways, the following summariz</w:t>
            </w:r>
            <w:r>
              <w:t>es the substantial differences between the introduced and committee substitute versions of the bill.</w:t>
            </w:r>
          </w:p>
          <w:p w14:paraId="01F7D6A6" w14:textId="77777777" w:rsidR="00A63B5F" w:rsidRDefault="00A63B5F" w:rsidP="004F2230">
            <w:pPr>
              <w:contextualSpacing/>
              <w:jc w:val="both"/>
            </w:pPr>
          </w:p>
          <w:p w14:paraId="3581F0B8" w14:textId="55C14F50" w:rsidR="00DD6F52" w:rsidRDefault="001877A5" w:rsidP="004F2230">
            <w:pPr>
              <w:contextualSpacing/>
              <w:jc w:val="both"/>
            </w:pPr>
            <w:r>
              <w:t>The original authorized the commissioners court of a county with a population of at least 50,000 that borders the Rio Grande River and contains a county-o</w:t>
            </w:r>
            <w:r>
              <w:t xml:space="preserve">wned airport but does not contain an airport with regularly scheduled commercial airline flights to impose a hotel occupancy tax. The substitute instead removes the prohibition against </w:t>
            </w:r>
            <w:r w:rsidRPr="00DD6F52">
              <w:t xml:space="preserve">a county in which an Indian reservation under jurisdiction of the U.S. </w:t>
            </w:r>
            <w:r w:rsidRPr="00DD6F52">
              <w:t>government is located</w:t>
            </w:r>
            <w:r>
              <w:t xml:space="preserve"> from imposing the tax on hotels located in a municipality that imposes a municipal hotel occupancy tax.</w:t>
            </w:r>
          </w:p>
          <w:p w14:paraId="740CA266" w14:textId="5E61516F" w:rsidR="00DD6F52" w:rsidRDefault="00DD6F52" w:rsidP="004F2230">
            <w:pPr>
              <w:contextualSpacing/>
              <w:jc w:val="both"/>
            </w:pPr>
          </w:p>
          <w:p w14:paraId="567DF440" w14:textId="45E1040B" w:rsidR="00DD6F52" w:rsidRDefault="001877A5" w:rsidP="004F2230">
            <w:pPr>
              <w:contextualSpacing/>
              <w:jc w:val="both"/>
            </w:pPr>
            <w:r>
              <w:t>The original authorized the revenue from the county hotel occupancy tax to be used to make improvements</w:t>
            </w:r>
            <w:r>
              <w:t xml:space="preserve"> to the airport, whereas the substitute authorizes the revenue to be used to </w:t>
            </w:r>
            <w:r w:rsidRPr="00DD6F52">
              <w:t>make repairs and improvements to the county airport or to provide reimbursement for repairs and improvements to the airport</w:t>
            </w:r>
            <w:r w:rsidR="002D466F">
              <w:t>.</w:t>
            </w:r>
          </w:p>
          <w:p w14:paraId="6464F615" w14:textId="00883D57" w:rsidR="002D466F" w:rsidRDefault="002D466F" w:rsidP="004F2230">
            <w:pPr>
              <w:contextualSpacing/>
              <w:jc w:val="both"/>
            </w:pPr>
          </w:p>
          <w:p w14:paraId="3F3E220B" w14:textId="68D440D6" w:rsidR="002D466F" w:rsidRDefault="001877A5" w:rsidP="004F2230">
            <w:pPr>
              <w:contextualSpacing/>
              <w:jc w:val="both"/>
            </w:pPr>
            <w:r>
              <w:t>The substitute includes the following provisions, whi</w:t>
            </w:r>
            <w:r>
              <w:t>ch were absent from the original:</w:t>
            </w:r>
          </w:p>
          <w:p w14:paraId="05A5E93C" w14:textId="12E09CFF" w:rsidR="002D466F" w:rsidRDefault="001877A5" w:rsidP="004F223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 provision capping the county hotel occupancy tax rate at 2 percent of the price paid for a room in the hotel; and</w:t>
            </w:r>
          </w:p>
          <w:p w14:paraId="2F76C473" w14:textId="1F7C9E07" w:rsidR="008E4C3E" w:rsidRDefault="001877A5" w:rsidP="004F223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certain limitations regarding the use of such revenue.</w:t>
            </w:r>
          </w:p>
          <w:p w14:paraId="52BA6F99" w14:textId="35D27C85" w:rsidR="008E4C3E" w:rsidRPr="008E4C3E" w:rsidRDefault="008E4C3E" w:rsidP="004F2230">
            <w:pPr>
              <w:contextualSpacing/>
              <w:jc w:val="both"/>
            </w:pPr>
          </w:p>
        </w:tc>
      </w:tr>
    </w:tbl>
    <w:p w14:paraId="29531948" w14:textId="77777777" w:rsidR="008423E4" w:rsidRPr="00BE0E75" w:rsidRDefault="008423E4" w:rsidP="004F2230">
      <w:pPr>
        <w:contextualSpacing/>
        <w:jc w:val="both"/>
        <w:rPr>
          <w:rFonts w:ascii="Arial" w:hAnsi="Arial"/>
          <w:sz w:val="16"/>
          <w:szCs w:val="16"/>
        </w:rPr>
      </w:pPr>
    </w:p>
    <w:p w14:paraId="73FDADC1" w14:textId="77777777" w:rsidR="004108C3" w:rsidRPr="008423E4" w:rsidRDefault="004108C3" w:rsidP="004F2230">
      <w:pPr>
        <w:contextualSpacing/>
      </w:pPr>
    </w:p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F728E" w14:textId="77777777" w:rsidR="00000000" w:rsidRDefault="001877A5">
      <w:r>
        <w:separator/>
      </w:r>
    </w:p>
  </w:endnote>
  <w:endnote w:type="continuationSeparator" w:id="0">
    <w:p w14:paraId="13B9C9AC" w14:textId="77777777" w:rsidR="00000000" w:rsidRDefault="0018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1975C" w14:textId="77777777" w:rsidR="00044FDF" w:rsidRDefault="00044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324D" w14:paraId="0E951BF0" w14:textId="77777777" w:rsidTr="009C1E9A">
      <w:trPr>
        <w:cantSplit/>
      </w:trPr>
      <w:tc>
        <w:tcPr>
          <w:tcW w:w="0" w:type="pct"/>
        </w:tcPr>
        <w:p w14:paraId="08487D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1462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0D6AA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C0D0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A0D62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324D" w14:paraId="24631A0F" w14:textId="77777777" w:rsidTr="009C1E9A">
      <w:trPr>
        <w:cantSplit/>
      </w:trPr>
      <w:tc>
        <w:tcPr>
          <w:tcW w:w="0" w:type="pct"/>
        </w:tcPr>
        <w:p w14:paraId="095D6D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313607" w14:textId="1815AD4B" w:rsidR="00EC379B" w:rsidRPr="009C1E9A" w:rsidRDefault="001877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22124</w:t>
          </w:r>
        </w:p>
      </w:tc>
      <w:tc>
        <w:tcPr>
          <w:tcW w:w="2453" w:type="pct"/>
        </w:tcPr>
        <w:p w14:paraId="5AF2819C" w14:textId="4C94FE54" w:rsidR="00EC379B" w:rsidRDefault="001877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F2230">
            <w:t>21.115.655</w:t>
          </w:r>
          <w:r>
            <w:fldChar w:fldCharType="end"/>
          </w:r>
        </w:p>
      </w:tc>
    </w:tr>
    <w:tr w:rsidR="006B324D" w14:paraId="2DFBD02D" w14:textId="77777777" w:rsidTr="009C1E9A">
      <w:trPr>
        <w:cantSplit/>
      </w:trPr>
      <w:tc>
        <w:tcPr>
          <w:tcW w:w="0" w:type="pct"/>
        </w:tcPr>
        <w:p w14:paraId="08EB89D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14CA03" w14:textId="25FC05B7" w:rsidR="00EC379B" w:rsidRPr="009C1E9A" w:rsidRDefault="001877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14053</w:t>
          </w:r>
        </w:p>
      </w:tc>
      <w:tc>
        <w:tcPr>
          <w:tcW w:w="2453" w:type="pct"/>
        </w:tcPr>
        <w:p w14:paraId="6B96B00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ECD0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324D" w14:paraId="3560EB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6E2929" w14:textId="21FB9B6F" w:rsidR="00EC379B" w:rsidRDefault="001877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F223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2DE9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229972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335A" w14:textId="77777777" w:rsidR="00044FDF" w:rsidRDefault="00044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2A096" w14:textId="77777777" w:rsidR="00000000" w:rsidRDefault="001877A5">
      <w:r>
        <w:separator/>
      </w:r>
    </w:p>
  </w:footnote>
  <w:footnote w:type="continuationSeparator" w:id="0">
    <w:p w14:paraId="7801244B" w14:textId="77777777" w:rsidR="00000000" w:rsidRDefault="0018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D1AF" w14:textId="77777777" w:rsidR="00044FDF" w:rsidRDefault="00044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82A6" w14:textId="77777777" w:rsidR="00044FDF" w:rsidRDefault="00044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0572" w14:textId="77777777" w:rsidR="00044FDF" w:rsidRDefault="00044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39A3"/>
    <w:multiLevelType w:val="hybridMultilevel"/>
    <w:tmpl w:val="A5AAF744"/>
    <w:lvl w:ilvl="0" w:tplc="27683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0C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4F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0D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5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ED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4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A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8F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6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FDF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1A9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586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7A5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A5E"/>
    <w:rsid w:val="002D305A"/>
    <w:rsid w:val="002D466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09D"/>
    <w:rsid w:val="00494303"/>
    <w:rsid w:val="0049682B"/>
    <w:rsid w:val="004A03F7"/>
    <w:rsid w:val="004A081C"/>
    <w:rsid w:val="004A123F"/>
    <w:rsid w:val="004A2172"/>
    <w:rsid w:val="004A6D83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230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F93"/>
    <w:rsid w:val="00576714"/>
    <w:rsid w:val="0057685A"/>
    <w:rsid w:val="005847EF"/>
    <w:rsid w:val="005851E6"/>
    <w:rsid w:val="005878B7"/>
    <w:rsid w:val="00592C9A"/>
    <w:rsid w:val="00593DF8"/>
    <w:rsid w:val="00595539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24D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731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059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EA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4C3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B5F"/>
    <w:rsid w:val="00A644B8"/>
    <w:rsid w:val="00A70E35"/>
    <w:rsid w:val="00A720DC"/>
    <w:rsid w:val="00A803CF"/>
    <w:rsid w:val="00A8133F"/>
    <w:rsid w:val="00A82CB4"/>
    <w:rsid w:val="00A837A8"/>
    <w:rsid w:val="00A83C36"/>
    <w:rsid w:val="00A9057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9E8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A05"/>
    <w:rsid w:val="00C42B41"/>
    <w:rsid w:val="00C46166"/>
    <w:rsid w:val="00C4710D"/>
    <w:rsid w:val="00C50CAD"/>
    <w:rsid w:val="00C5451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2D1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6D1D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F52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468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21E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E2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0DC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F4DE82-D0A4-4D94-9A94-1EBB9EBF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75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75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5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586"/>
    <w:rPr>
      <w:b/>
      <w:bCs/>
    </w:rPr>
  </w:style>
  <w:style w:type="paragraph" w:styleId="ListParagraph">
    <w:name w:val="List Paragraph"/>
    <w:basedOn w:val="Normal"/>
    <w:uiPriority w:val="34"/>
    <w:qFormat/>
    <w:rsid w:val="002D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2924</Characters>
  <Application>Microsoft Office Word</Application>
  <DocSecurity>4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HB02172 (Committee Report (Substituted))</vt:lpstr>
    </vt:vector>
  </TitlesOfParts>
  <Company>State of Texas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22124</dc:subject>
  <dc:creator>State of Texas</dc:creator>
  <dc:description>HB 2172 by Morales, Eddie-(H)Ways &amp; Means (Substitute Document Number: 87R 14053)</dc:description>
  <cp:lastModifiedBy>Stacey Nicchio</cp:lastModifiedBy>
  <cp:revision>2</cp:revision>
  <cp:lastPrinted>2003-11-26T17:21:00Z</cp:lastPrinted>
  <dcterms:created xsi:type="dcterms:W3CDTF">2021-04-28T16:21:00Z</dcterms:created>
  <dcterms:modified xsi:type="dcterms:W3CDTF">2021-04-28T16:21:00Z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21.115.655</vt:lpwstr>
  </property>
</Properties>
</file>