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E555D" w14:paraId="26A13A6C" w14:textId="77777777" w:rsidTr="00755549">
        <w:tc>
          <w:tcPr>
            <w:tcW w:w="9576" w:type="dxa"/>
            <w:noWrap/>
          </w:tcPr>
          <w:p w14:paraId="220B4D4D" w14:textId="77777777" w:rsidR="008423E4" w:rsidRPr="0022177D" w:rsidRDefault="00290338" w:rsidP="00FF6FB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24B0499" w14:textId="77777777" w:rsidR="008423E4" w:rsidRPr="0022177D" w:rsidRDefault="008423E4" w:rsidP="00FF6FBF">
      <w:pPr>
        <w:jc w:val="center"/>
      </w:pPr>
    </w:p>
    <w:p w14:paraId="62FC205F" w14:textId="77777777" w:rsidR="008423E4" w:rsidRPr="00B31F0E" w:rsidRDefault="008423E4" w:rsidP="00FF6FBF"/>
    <w:p w14:paraId="7D72BE97" w14:textId="77777777" w:rsidR="008423E4" w:rsidRPr="00742794" w:rsidRDefault="008423E4" w:rsidP="00FF6FB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E555D" w14:paraId="36EDAB83" w14:textId="77777777" w:rsidTr="00755549">
        <w:tc>
          <w:tcPr>
            <w:tcW w:w="9576" w:type="dxa"/>
          </w:tcPr>
          <w:p w14:paraId="36069E24" w14:textId="77777777" w:rsidR="008423E4" w:rsidRPr="00861995" w:rsidRDefault="00290338" w:rsidP="00FF6FBF">
            <w:pPr>
              <w:jc w:val="right"/>
            </w:pPr>
            <w:r>
              <w:t>C.S.H.B. 2183</w:t>
            </w:r>
          </w:p>
        </w:tc>
      </w:tr>
      <w:tr w:rsidR="00AE555D" w14:paraId="73B5EEC3" w14:textId="77777777" w:rsidTr="00755549">
        <w:tc>
          <w:tcPr>
            <w:tcW w:w="9576" w:type="dxa"/>
          </w:tcPr>
          <w:p w14:paraId="56D991A9" w14:textId="77777777" w:rsidR="008423E4" w:rsidRPr="00861995" w:rsidRDefault="00290338" w:rsidP="00FF6FBF">
            <w:pPr>
              <w:jc w:val="right"/>
            </w:pPr>
            <w:r>
              <w:t xml:space="preserve">By: </w:t>
            </w:r>
            <w:r w:rsidR="00066EBB">
              <w:t>Moody</w:t>
            </w:r>
          </w:p>
        </w:tc>
      </w:tr>
      <w:tr w:rsidR="00AE555D" w14:paraId="77DC8806" w14:textId="77777777" w:rsidTr="00755549">
        <w:tc>
          <w:tcPr>
            <w:tcW w:w="9576" w:type="dxa"/>
          </w:tcPr>
          <w:p w14:paraId="25959E09" w14:textId="77777777" w:rsidR="008423E4" w:rsidRPr="00861995" w:rsidRDefault="00290338" w:rsidP="00FF6FBF">
            <w:pPr>
              <w:jc w:val="right"/>
            </w:pPr>
            <w:r>
              <w:t>Judiciary &amp; Civil Jurisprudence</w:t>
            </w:r>
          </w:p>
        </w:tc>
      </w:tr>
      <w:tr w:rsidR="00AE555D" w14:paraId="604020EF" w14:textId="77777777" w:rsidTr="00755549">
        <w:tc>
          <w:tcPr>
            <w:tcW w:w="9576" w:type="dxa"/>
          </w:tcPr>
          <w:p w14:paraId="625B3654" w14:textId="77777777" w:rsidR="008423E4" w:rsidRDefault="00290338" w:rsidP="00FF6FBF">
            <w:pPr>
              <w:jc w:val="right"/>
            </w:pPr>
            <w:r>
              <w:t>Committee Report (Substituted)</w:t>
            </w:r>
          </w:p>
        </w:tc>
      </w:tr>
    </w:tbl>
    <w:p w14:paraId="173C6AA9" w14:textId="77777777" w:rsidR="008423E4" w:rsidRDefault="008423E4" w:rsidP="00FF6FBF">
      <w:pPr>
        <w:tabs>
          <w:tab w:val="right" w:pos="9360"/>
        </w:tabs>
      </w:pPr>
    </w:p>
    <w:p w14:paraId="03D49636" w14:textId="77777777" w:rsidR="008423E4" w:rsidRDefault="008423E4" w:rsidP="00FF6FBF"/>
    <w:p w14:paraId="0D934DAB" w14:textId="77777777" w:rsidR="008423E4" w:rsidRDefault="008423E4" w:rsidP="00FF6FB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E555D" w14:paraId="1F124886" w14:textId="77777777" w:rsidTr="00931ABF">
        <w:tc>
          <w:tcPr>
            <w:tcW w:w="9360" w:type="dxa"/>
          </w:tcPr>
          <w:p w14:paraId="67174780" w14:textId="77777777" w:rsidR="008423E4" w:rsidRPr="00A8133F" w:rsidRDefault="00290338" w:rsidP="00FF6FB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31EE40D" w14:textId="77777777" w:rsidR="008423E4" w:rsidRDefault="008423E4" w:rsidP="00FF6FBF"/>
          <w:p w14:paraId="531F8570" w14:textId="68B98D43" w:rsidR="008423E4" w:rsidRDefault="00290338" w:rsidP="00FF6FBF">
            <w:pPr>
              <w:pStyle w:val="Header"/>
              <w:jc w:val="both"/>
            </w:pPr>
            <w:r w:rsidRPr="00066EBB">
              <w:t xml:space="preserve">Interested parties suggest that changes to the </w:t>
            </w:r>
            <w:r w:rsidR="00EE1313">
              <w:t>Durable Power of Attorney Act</w:t>
            </w:r>
            <w:r w:rsidRPr="00066EBB">
              <w:t xml:space="preserve"> are needed to clarify that durable powers of attorney are tools for use by individuals, not by entities, and to establish what </w:t>
            </w:r>
            <w:r w:rsidR="00EE1313">
              <w:t xml:space="preserve">certain </w:t>
            </w:r>
            <w:r w:rsidRPr="00066EBB">
              <w:t>grants of authority by a durable power of attorney entail.</w:t>
            </w:r>
            <w:r w:rsidR="00087470">
              <w:t xml:space="preserve"> </w:t>
            </w:r>
            <w:r w:rsidR="00EE1313">
              <w:t xml:space="preserve">Language relating to authority for business operation transactions under the act also needs to be updated to cover actions with respect to a limited liability company, since when the relevant provisions were enacted limited liability companies were not yet in widespread use. </w:t>
            </w:r>
            <w:r w:rsidR="00087470">
              <w:t>C.S.H.B.</w:t>
            </w:r>
            <w:r w:rsidR="00B64C72">
              <w:t> </w:t>
            </w:r>
            <w:r w:rsidR="00087470">
              <w:t>2183 makes these</w:t>
            </w:r>
            <w:r w:rsidR="00B64C72">
              <w:t xml:space="preserve"> </w:t>
            </w:r>
            <w:r w:rsidR="00EE1313">
              <w:t>clarifications and updates</w:t>
            </w:r>
            <w:r w:rsidR="00087470">
              <w:t xml:space="preserve">. </w:t>
            </w:r>
          </w:p>
          <w:p w14:paraId="7B4EF4CD" w14:textId="60EB35FE" w:rsidR="008423E4" w:rsidRPr="00E26B13" w:rsidRDefault="008423E4" w:rsidP="00FF6FBF">
            <w:pPr>
              <w:rPr>
                <w:b/>
              </w:rPr>
            </w:pPr>
          </w:p>
        </w:tc>
      </w:tr>
      <w:tr w:rsidR="00AE555D" w14:paraId="01D10DF2" w14:textId="77777777" w:rsidTr="00931ABF">
        <w:tc>
          <w:tcPr>
            <w:tcW w:w="9360" w:type="dxa"/>
          </w:tcPr>
          <w:p w14:paraId="1B74ED76" w14:textId="77777777" w:rsidR="0017725B" w:rsidRDefault="00290338" w:rsidP="00FF6FB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FC684DB" w14:textId="77777777" w:rsidR="0017725B" w:rsidRDefault="0017725B" w:rsidP="00FF6FBF">
            <w:pPr>
              <w:rPr>
                <w:b/>
                <w:u w:val="single"/>
              </w:rPr>
            </w:pPr>
          </w:p>
          <w:p w14:paraId="2DE3C038" w14:textId="77777777" w:rsidR="00066EBB" w:rsidRPr="00066EBB" w:rsidRDefault="00290338" w:rsidP="00FF6FBF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14:paraId="1551E529" w14:textId="77777777" w:rsidR="0017725B" w:rsidRPr="0017725B" w:rsidRDefault="0017725B" w:rsidP="00FF6FBF">
            <w:pPr>
              <w:rPr>
                <w:b/>
                <w:u w:val="single"/>
              </w:rPr>
            </w:pPr>
          </w:p>
        </w:tc>
      </w:tr>
      <w:tr w:rsidR="00AE555D" w14:paraId="0B2453AF" w14:textId="77777777" w:rsidTr="00931ABF">
        <w:tc>
          <w:tcPr>
            <w:tcW w:w="9360" w:type="dxa"/>
          </w:tcPr>
          <w:p w14:paraId="4C10AB4B" w14:textId="77777777" w:rsidR="008423E4" w:rsidRPr="00A8133F" w:rsidRDefault="00290338" w:rsidP="00FF6FB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68846CC" w14:textId="77777777" w:rsidR="008423E4" w:rsidRDefault="008423E4" w:rsidP="00FF6FBF"/>
          <w:p w14:paraId="2510D5D4" w14:textId="77777777" w:rsidR="00066EBB" w:rsidRDefault="00290338" w:rsidP="00FF6F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11E7F811" w14:textId="77777777" w:rsidR="008423E4" w:rsidRPr="00E21FDC" w:rsidRDefault="008423E4" w:rsidP="00FF6FBF">
            <w:pPr>
              <w:rPr>
                <w:b/>
              </w:rPr>
            </w:pPr>
          </w:p>
        </w:tc>
      </w:tr>
      <w:tr w:rsidR="00AE555D" w14:paraId="03391A2F" w14:textId="77777777" w:rsidTr="00931ABF">
        <w:tc>
          <w:tcPr>
            <w:tcW w:w="9360" w:type="dxa"/>
          </w:tcPr>
          <w:p w14:paraId="0BAB1A33" w14:textId="77777777" w:rsidR="008423E4" w:rsidRPr="00A8133F" w:rsidRDefault="00290338" w:rsidP="00FF6FB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E18BDCA" w14:textId="77777777" w:rsidR="008423E4" w:rsidRDefault="008423E4" w:rsidP="00FF6FBF"/>
          <w:p w14:paraId="289B5D0C" w14:textId="77777777" w:rsidR="0048477D" w:rsidRDefault="00290338" w:rsidP="00FF6F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066EBB">
              <w:t xml:space="preserve">H.B. 2183 amends the Estates Code to </w:t>
            </w:r>
            <w:r>
              <w:t xml:space="preserve">make the following clarifications to </w:t>
            </w:r>
            <w:r w:rsidR="0047568C">
              <w:t>the Durable Power of Attorney Act</w:t>
            </w:r>
            <w:r>
              <w:t>:</w:t>
            </w:r>
          </w:p>
          <w:p w14:paraId="3E0341EE" w14:textId="7F4E229C" w:rsidR="00D731AD" w:rsidRDefault="00290338" w:rsidP="00FF6FBF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a principal who signs</w:t>
            </w:r>
            <w:r w:rsidR="00E21A68">
              <w:t xml:space="preserve"> or directs the signing of</w:t>
            </w:r>
            <w:r>
              <w:t xml:space="preserve"> a durable power of attorney is </w:t>
            </w:r>
            <w:r w:rsidR="006A13E3">
              <w:t>an adult individual</w:t>
            </w:r>
            <w:r>
              <w:t>;</w:t>
            </w:r>
            <w:r w:rsidR="007A28CE">
              <w:t xml:space="preserve"> </w:t>
            </w:r>
          </w:p>
          <w:p w14:paraId="293266E9" w14:textId="4CF3D686" w:rsidR="00D731AD" w:rsidRDefault="00290338" w:rsidP="00FF6FBF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consideration of whether an actor is </w:t>
            </w:r>
            <w:r w:rsidR="007A28CE">
              <w:t>disabled or incapacitated</w:t>
            </w:r>
            <w:r>
              <w:t xml:space="preserve"> applies to </w:t>
            </w:r>
            <w:r w:rsidR="007A28CE">
              <w:t>an individual</w:t>
            </w:r>
            <w:r>
              <w:t>; and</w:t>
            </w:r>
            <w:r w:rsidR="007A28CE">
              <w:t xml:space="preserve"> </w:t>
            </w:r>
          </w:p>
          <w:p w14:paraId="5635CF1D" w14:textId="6B3F434E" w:rsidR="009C36CD" w:rsidRDefault="00290338" w:rsidP="00FF6FBF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the actor who may empower an agent through a</w:t>
            </w:r>
            <w:r w:rsidR="00E21A68">
              <w:t xml:space="preserve"> statutory </w:t>
            </w:r>
            <w:r w:rsidR="006A13E3">
              <w:t xml:space="preserve">durable power of attorney </w:t>
            </w:r>
            <w:r>
              <w:t>is</w:t>
            </w:r>
            <w:r w:rsidR="006A13E3">
              <w:t xml:space="preserve"> </w:t>
            </w:r>
            <w:r w:rsidR="00D731AD">
              <w:t xml:space="preserve">an </w:t>
            </w:r>
            <w:r w:rsidR="006A13E3">
              <w:t>individual.</w:t>
            </w:r>
          </w:p>
          <w:p w14:paraId="6957787B" w14:textId="77777777" w:rsidR="00426970" w:rsidRDefault="00426970" w:rsidP="00FF6F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9E44929" w14:textId="03ECD3FB" w:rsidR="00685F5C" w:rsidRDefault="00290338" w:rsidP="00FF6F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426970">
              <w:t>H.B.</w:t>
            </w:r>
            <w:r>
              <w:t xml:space="preserve"> 2183</w:t>
            </w:r>
            <w:r w:rsidR="00A0479D">
              <w:t xml:space="preserve"> </w:t>
            </w:r>
            <w:r w:rsidR="004B75A7">
              <w:t xml:space="preserve">expands the </w:t>
            </w:r>
            <w:r w:rsidR="004C017D">
              <w:t>applicability of a statutory durable power of attorney</w:t>
            </w:r>
            <w:r w:rsidR="00A666A4">
              <w:t>, as it relates to authority with respect to business operating transactions,</w:t>
            </w:r>
            <w:r w:rsidR="004C017D">
              <w:t xml:space="preserve"> to include powers relating to an entity or entity ownership interest, subject to the terms of an agreement or other document governing or relating to that entity or interest</w:t>
            </w:r>
            <w:r w:rsidR="00A0479D">
              <w:t>.</w:t>
            </w:r>
            <w:r w:rsidR="004C017D">
              <w:t xml:space="preserve"> </w:t>
            </w:r>
            <w:r w:rsidR="00E601B3">
              <w:t xml:space="preserve">The bill revises the enumerated powers that may be exercised by the agent </w:t>
            </w:r>
            <w:r w:rsidR="00B652B5">
              <w:t>with respect to business transactions to reflect this expansion</w:t>
            </w:r>
            <w:r>
              <w:t>, including as follows:</w:t>
            </w:r>
          </w:p>
          <w:p w14:paraId="3E29F15A" w14:textId="3B043B0E" w:rsidR="00685F5C" w:rsidRDefault="00290338" w:rsidP="00FF6FBF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>by removing language restricting certain powers to actions taken specifically under a partnership agreement</w:t>
            </w:r>
            <w:r w:rsidR="0081416D">
              <w:t>;</w:t>
            </w:r>
            <w:r>
              <w:t xml:space="preserve"> </w:t>
            </w:r>
          </w:p>
          <w:p w14:paraId="648839F2" w14:textId="215E74AE" w:rsidR="00B20B85" w:rsidRDefault="00290338" w:rsidP="00FF6FBF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>with re</w:t>
            </w:r>
            <w:r>
              <w:t xml:space="preserve">spect to a sole ownership, </w:t>
            </w:r>
            <w:r w:rsidR="0081416D">
              <w:t xml:space="preserve">by </w:t>
            </w:r>
            <w:r>
              <w:t>specifying that related powers apply to ownership of an entity as well as to ownership of a business</w:t>
            </w:r>
            <w:r w:rsidR="00DE79E1">
              <w:t>; and</w:t>
            </w:r>
          </w:p>
          <w:p w14:paraId="3FAEFD0B" w14:textId="0D8A8DEA" w:rsidR="00DE79E1" w:rsidRDefault="00290338" w:rsidP="00FF6FBF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by </w:t>
            </w:r>
            <w:r w:rsidR="00F31D28">
              <w:t>specifying</w:t>
            </w:r>
            <w:r w:rsidR="003D4A03">
              <w:t xml:space="preserve"> that</w:t>
            </w:r>
            <w:r w:rsidR="009A3A75">
              <w:t xml:space="preserve"> </w:t>
            </w:r>
            <w:r w:rsidR="003D4A03">
              <w:t>t</w:t>
            </w:r>
            <w:r w:rsidR="00F31D28">
              <w:t>he following</w:t>
            </w:r>
            <w:r w:rsidR="003D4A03">
              <w:t xml:space="preserve"> powers</w:t>
            </w:r>
            <w:r w:rsidR="00D35585">
              <w:t>, as revised by the bill,</w:t>
            </w:r>
            <w:r w:rsidR="003D4A03">
              <w:t xml:space="preserve"> relate</w:t>
            </w:r>
            <w:r w:rsidR="009A3A75">
              <w:t xml:space="preserve"> to a certificated or uncertificated ownership interest </w:t>
            </w:r>
            <w:r w:rsidR="00D35585">
              <w:t>held by</w:t>
            </w:r>
            <w:r w:rsidR="009A3A75">
              <w:t xml:space="preserve"> the principal:</w:t>
            </w:r>
            <w:r>
              <w:t xml:space="preserve"> </w:t>
            </w:r>
          </w:p>
          <w:p w14:paraId="1491171A" w14:textId="5A7A8708" w:rsidR="00F31D28" w:rsidRDefault="00290338" w:rsidP="00FF6FBF">
            <w:pPr>
              <w:pStyle w:val="Header"/>
              <w:numPr>
                <w:ilvl w:val="1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power to </w:t>
            </w:r>
            <w:r w:rsidRPr="00F31D28">
              <w:t>exercise in person or by proxy, or enforce by litigation, action, or otherwise, a right, power, privilege, or option the principal has or claims to have</w:t>
            </w:r>
            <w:r>
              <w:t xml:space="preserve"> as the hol</w:t>
            </w:r>
            <w:r>
              <w:t>der of such an interest; and</w:t>
            </w:r>
          </w:p>
          <w:p w14:paraId="299B223D" w14:textId="34988521" w:rsidR="00F31D28" w:rsidRDefault="00290338" w:rsidP="00FF6FBF">
            <w:pPr>
              <w:pStyle w:val="Header"/>
              <w:numPr>
                <w:ilvl w:val="1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>the power to defend, submit to alternative dispute resolution, settle, or compromise litigation to which the principal is a party</w:t>
            </w:r>
            <w:r w:rsidR="00D35585">
              <w:t xml:space="preserve"> concerning such an interest.</w:t>
            </w:r>
          </w:p>
          <w:p w14:paraId="6C0E7F5E" w14:textId="5AC62B8B" w:rsidR="008423E4" w:rsidRPr="00835628" w:rsidRDefault="00290338" w:rsidP="00FF6FB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 </w:t>
            </w:r>
            <w:r w:rsidR="00F205F9">
              <w:t xml:space="preserve">    </w:t>
            </w:r>
          </w:p>
        </w:tc>
      </w:tr>
      <w:tr w:rsidR="00AE555D" w14:paraId="5385400C" w14:textId="77777777" w:rsidTr="00931ABF">
        <w:tc>
          <w:tcPr>
            <w:tcW w:w="9360" w:type="dxa"/>
          </w:tcPr>
          <w:p w14:paraId="40AE393E" w14:textId="77777777" w:rsidR="008423E4" w:rsidRPr="00A8133F" w:rsidRDefault="00290338" w:rsidP="00FF6FB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6D6D3E4" w14:textId="77777777" w:rsidR="008423E4" w:rsidRDefault="008423E4" w:rsidP="00FF6FBF"/>
          <w:p w14:paraId="2A8BD6E7" w14:textId="77777777" w:rsidR="008423E4" w:rsidRPr="003624F2" w:rsidRDefault="00290338" w:rsidP="00FF6F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1C0262C" w14:textId="77777777" w:rsidR="008423E4" w:rsidRPr="00233FDB" w:rsidRDefault="008423E4" w:rsidP="00FF6FBF">
            <w:pPr>
              <w:rPr>
                <w:b/>
              </w:rPr>
            </w:pPr>
          </w:p>
        </w:tc>
      </w:tr>
      <w:tr w:rsidR="00AE555D" w14:paraId="1A724355" w14:textId="77777777" w:rsidTr="00931ABF">
        <w:tc>
          <w:tcPr>
            <w:tcW w:w="9360" w:type="dxa"/>
          </w:tcPr>
          <w:p w14:paraId="39F6F2F0" w14:textId="77777777" w:rsidR="00066EBB" w:rsidRDefault="00290338" w:rsidP="00FF6FB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ORIGINAL </w:t>
            </w:r>
            <w:r>
              <w:rPr>
                <w:b/>
                <w:u w:val="single"/>
              </w:rPr>
              <w:t>AND SUBSTITUTE</w:t>
            </w:r>
          </w:p>
          <w:p w14:paraId="33107168" w14:textId="77777777" w:rsidR="007F4DD3" w:rsidRDefault="007F4DD3" w:rsidP="00FF6FBF">
            <w:pPr>
              <w:jc w:val="both"/>
            </w:pPr>
          </w:p>
          <w:p w14:paraId="7E8566BF" w14:textId="4EB570A4" w:rsidR="007F4DD3" w:rsidRPr="00F31D28" w:rsidRDefault="00290338" w:rsidP="00FF6FBF">
            <w:pPr>
              <w:jc w:val="both"/>
            </w:pPr>
            <w:r>
              <w:t>C.S.H.B. 2183 differs from the original in minor or nonsubstantive ways by conforming to certain bill drafting conventions.</w:t>
            </w:r>
          </w:p>
          <w:p w14:paraId="51D2AE37" w14:textId="26BA1C26" w:rsidR="00711067" w:rsidRPr="00931ABF" w:rsidRDefault="00711067" w:rsidP="00FF6FBF">
            <w:pPr>
              <w:jc w:val="both"/>
            </w:pPr>
          </w:p>
        </w:tc>
      </w:tr>
    </w:tbl>
    <w:p w14:paraId="6923A184" w14:textId="77777777" w:rsidR="008423E4" w:rsidRPr="00BE0E75" w:rsidRDefault="008423E4" w:rsidP="00FF6FBF">
      <w:pPr>
        <w:jc w:val="both"/>
        <w:rPr>
          <w:rFonts w:ascii="Arial" w:hAnsi="Arial"/>
          <w:sz w:val="16"/>
          <w:szCs w:val="16"/>
        </w:rPr>
      </w:pPr>
    </w:p>
    <w:p w14:paraId="16F82C22" w14:textId="77777777" w:rsidR="004108C3" w:rsidRPr="008423E4" w:rsidRDefault="004108C3" w:rsidP="00FF6FBF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2301B" w14:textId="77777777" w:rsidR="00000000" w:rsidRDefault="00290338">
      <w:r>
        <w:separator/>
      </w:r>
    </w:p>
  </w:endnote>
  <w:endnote w:type="continuationSeparator" w:id="0">
    <w:p w14:paraId="76B4D494" w14:textId="77777777" w:rsidR="00000000" w:rsidRDefault="0029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5A854" w14:textId="77777777" w:rsidR="004B75A7" w:rsidRDefault="004B75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E555D" w14:paraId="601636B5" w14:textId="77777777" w:rsidTr="009C1E9A">
      <w:trPr>
        <w:cantSplit/>
      </w:trPr>
      <w:tc>
        <w:tcPr>
          <w:tcW w:w="0" w:type="pct"/>
        </w:tcPr>
        <w:p w14:paraId="0FA10255" w14:textId="77777777" w:rsidR="004B75A7" w:rsidRDefault="004B75A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EE327A9" w14:textId="77777777" w:rsidR="004B75A7" w:rsidRDefault="004B75A7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B753B63" w14:textId="77777777" w:rsidR="004B75A7" w:rsidRDefault="004B75A7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B741943" w14:textId="77777777" w:rsidR="004B75A7" w:rsidRDefault="004B75A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FF9E013" w14:textId="77777777" w:rsidR="004B75A7" w:rsidRDefault="004B75A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E555D" w14:paraId="6B842F22" w14:textId="77777777" w:rsidTr="009C1E9A">
      <w:trPr>
        <w:cantSplit/>
      </w:trPr>
      <w:tc>
        <w:tcPr>
          <w:tcW w:w="0" w:type="pct"/>
        </w:tcPr>
        <w:p w14:paraId="4F3D96B1" w14:textId="77777777" w:rsidR="004B75A7" w:rsidRDefault="004B75A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8CAF572" w14:textId="77777777" w:rsidR="004B75A7" w:rsidRPr="009C1E9A" w:rsidRDefault="0029033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18448</w:t>
          </w:r>
        </w:p>
      </w:tc>
      <w:tc>
        <w:tcPr>
          <w:tcW w:w="2453" w:type="pct"/>
        </w:tcPr>
        <w:p w14:paraId="6D36D487" w14:textId="6E9753AC" w:rsidR="004B75A7" w:rsidRDefault="0029033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24743">
            <w:t>21.97.777</w:t>
          </w:r>
          <w:r>
            <w:fldChar w:fldCharType="end"/>
          </w:r>
        </w:p>
      </w:tc>
    </w:tr>
    <w:tr w:rsidR="00AE555D" w14:paraId="3678E5A6" w14:textId="77777777" w:rsidTr="009C1E9A">
      <w:trPr>
        <w:cantSplit/>
      </w:trPr>
      <w:tc>
        <w:tcPr>
          <w:tcW w:w="0" w:type="pct"/>
        </w:tcPr>
        <w:p w14:paraId="4911215D" w14:textId="77777777" w:rsidR="004B75A7" w:rsidRDefault="004B75A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139C9EC" w14:textId="77777777" w:rsidR="004B75A7" w:rsidRPr="009C1E9A" w:rsidRDefault="0029033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16894</w:t>
          </w:r>
        </w:p>
      </w:tc>
      <w:tc>
        <w:tcPr>
          <w:tcW w:w="2453" w:type="pct"/>
        </w:tcPr>
        <w:p w14:paraId="1104341C" w14:textId="77777777" w:rsidR="004B75A7" w:rsidRDefault="004B75A7" w:rsidP="006D504F">
          <w:pPr>
            <w:pStyle w:val="Footer"/>
            <w:rPr>
              <w:rStyle w:val="PageNumber"/>
            </w:rPr>
          </w:pPr>
        </w:p>
        <w:p w14:paraId="694FD3B0" w14:textId="77777777" w:rsidR="004B75A7" w:rsidRDefault="004B75A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E555D" w14:paraId="448A74A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70EDB8F" w14:textId="3F7F842A" w:rsidR="004B75A7" w:rsidRDefault="0029033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F6FBF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7009D703" w14:textId="77777777" w:rsidR="004B75A7" w:rsidRDefault="004B75A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EAA913A" w14:textId="77777777" w:rsidR="004B75A7" w:rsidRPr="00FF6F72" w:rsidRDefault="004B75A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E39CF" w14:textId="77777777" w:rsidR="004B75A7" w:rsidRDefault="004B7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BB682" w14:textId="77777777" w:rsidR="00000000" w:rsidRDefault="00290338">
      <w:r>
        <w:separator/>
      </w:r>
    </w:p>
  </w:footnote>
  <w:footnote w:type="continuationSeparator" w:id="0">
    <w:p w14:paraId="4F9E32AC" w14:textId="77777777" w:rsidR="00000000" w:rsidRDefault="0029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A36AB" w14:textId="77777777" w:rsidR="004B75A7" w:rsidRDefault="004B75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2484A" w14:textId="77777777" w:rsidR="004B75A7" w:rsidRDefault="004B75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0DF9C" w14:textId="77777777" w:rsidR="004B75A7" w:rsidRDefault="004B7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328"/>
    <w:multiLevelType w:val="hybridMultilevel"/>
    <w:tmpl w:val="D018A1E0"/>
    <w:lvl w:ilvl="0" w:tplc="80A49E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7446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70E1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68B1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46F0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6CC3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9EB4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0C7A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D26E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22638"/>
    <w:multiLevelType w:val="hybridMultilevel"/>
    <w:tmpl w:val="EF12050E"/>
    <w:lvl w:ilvl="0" w:tplc="C0EA6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AE84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BAA5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B8D1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100A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AE8A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22B1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3C7B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3AF0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8154B"/>
    <w:multiLevelType w:val="hybridMultilevel"/>
    <w:tmpl w:val="26DE7680"/>
    <w:lvl w:ilvl="0" w:tplc="D88298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DA2E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A6D2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8691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4A65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C05F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69D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E26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7896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B5B05"/>
    <w:multiLevelType w:val="hybridMultilevel"/>
    <w:tmpl w:val="22C074B8"/>
    <w:lvl w:ilvl="0" w:tplc="3848AF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C622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48B3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EE2F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7E7F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2E31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40A6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62CB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9E54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52EDF"/>
    <w:multiLevelType w:val="hybridMultilevel"/>
    <w:tmpl w:val="B7CEE33A"/>
    <w:lvl w:ilvl="0" w:tplc="E96C5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5EF2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A621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250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9C70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E257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B4B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9879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687F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B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525"/>
    <w:rsid w:val="00043B84"/>
    <w:rsid w:val="0004512B"/>
    <w:rsid w:val="000463F0"/>
    <w:rsid w:val="00046BDA"/>
    <w:rsid w:val="0004762E"/>
    <w:rsid w:val="000532BD"/>
    <w:rsid w:val="00055C12"/>
    <w:rsid w:val="00056754"/>
    <w:rsid w:val="000608B0"/>
    <w:rsid w:val="0006104C"/>
    <w:rsid w:val="00064BF2"/>
    <w:rsid w:val="00065E42"/>
    <w:rsid w:val="000667BA"/>
    <w:rsid w:val="00066EBB"/>
    <w:rsid w:val="000676A7"/>
    <w:rsid w:val="00073914"/>
    <w:rsid w:val="00074236"/>
    <w:rsid w:val="000746BD"/>
    <w:rsid w:val="00076D7D"/>
    <w:rsid w:val="00080D95"/>
    <w:rsid w:val="00087470"/>
    <w:rsid w:val="00090E6B"/>
    <w:rsid w:val="00091B2C"/>
    <w:rsid w:val="00092ABC"/>
    <w:rsid w:val="0009425D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590A"/>
    <w:rsid w:val="00127893"/>
    <w:rsid w:val="001312BB"/>
    <w:rsid w:val="00137D90"/>
    <w:rsid w:val="00141FB6"/>
    <w:rsid w:val="00142F8E"/>
    <w:rsid w:val="00143C8B"/>
    <w:rsid w:val="00146ED0"/>
    <w:rsid w:val="00147530"/>
    <w:rsid w:val="0015064B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0512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0CF6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27B24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0338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65FA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796A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6DA4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1F2E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4A03"/>
    <w:rsid w:val="003D726D"/>
    <w:rsid w:val="003E0875"/>
    <w:rsid w:val="003E0BB8"/>
    <w:rsid w:val="003E6CB0"/>
    <w:rsid w:val="003F1F5E"/>
    <w:rsid w:val="003F286A"/>
    <w:rsid w:val="003F77F8"/>
    <w:rsid w:val="00400ACD"/>
    <w:rsid w:val="0040387D"/>
    <w:rsid w:val="00403B15"/>
    <w:rsid w:val="00403E8A"/>
    <w:rsid w:val="00405CC5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6970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3F35"/>
    <w:rsid w:val="00474927"/>
    <w:rsid w:val="0047568C"/>
    <w:rsid w:val="00475913"/>
    <w:rsid w:val="00480080"/>
    <w:rsid w:val="004824A7"/>
    <w:rsid w:val="00483AF0"/>
    <w:rsid w:val="00484167"/>
    <w:rsid w:val="0048477D"/>
    <w:rsid w:val="00492211"/>
    <w:rsid w:val="00492325"/>
    <w:rsid w:val="00492A6D"/>
    <w:rsid w:val="00494303"/>
    <w:rsid w:val="0049682B"/>
    <w:rsid w:val="00496CC7"/>
    <w:rsid w:val="004A03F7"/>
    <w:rsid w:val="004A081C"/>
    <w:rsid w:val="004A123F"/>
    <w:rsid w:val="004A2172"/>
    <w:rsid w:val="004B138F"/>
    <w:rsid w:val="004B412A"/>
    <w:rsid w:val="004B576C"/>
    <w:rsid w:val="004B75A7"/>
    <w:rsid w:val="004B772A"/>
    <w:rsid w:val="004C017D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4248"/>
    <w:rsid w:val="004F57CB"/>
    <w:rsid w:val="004F64F6"/>
    <w:rsid w:val="004F69C0"/>
    <w:rsid w:val="00500121"/>
    <w:rsid w:val="005017AC"/>
    <w:rsid w:val="00501E8A"/>
    <w:rsid w:val="00501EFD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421D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B5F86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1266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5F5C"/>
    <w:rsid w:val="00687465"/>
    <w:rsid w:val="006907CF"/>
    <w:rsid w:val="00691CCF"/>
    <w:rsid w:val="00693AFA"/>
    <w:rsid w:val="00695101"/>
    <w:rsid w:val="00695B9A"/>
    <w:rsid w:val="00696563"/>
    <w:rsid w:val="006979F8"/>
    <w:rsid w:val="006A13E3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484F"/>
    <w:rsid w:val="00705276"/>
    <w:rsid w:val="007066A0"/>
    <w:rsid w:val="007075FB"/>
    <w:rsid w:val="0070787B"/>
    <w:rsid w:val="00711067"/>
    <w:rsid w:val="0071131D"/>
    <w:rsid w:val="00711E3D"/>
    <w:rsid w:val="00711E85"/>
    <w:rsid w:val="00712DDA"/>
    <w:rsid w:val="00714C41"/>
    <w:rsid w:val="00717739"/>
    <w:rsid w:val="00717DE4"/>
    <w:rsid w:val="00721724"/>
    <w:rsid w:val="00722EC5"/>
    <w:rsid w:val="00723326"/>
    <w:rsid w:val="00724252"/>
    <w:rsid w:val="00724743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549"/>
    <w:rsid w:val="00755C7B"/>
    <w:rsid w:val="00764786"/>
    <w:rsid w:val="00766E12"/>
    <w:rsid w:val="0077098E"/>
    <w:rsid w:val="00771287"/>
    <w:rsid w:val="0077149E"/>
    <w:rsid w:val="00774689"/>
    <w:rsid w:val="00777518"/>
    <w:rsid w:val="0077779E"/>
    <w:rsid w:val="00780FB6"/>
    <w:rsid w:val="00781361"/>
    <w:rsid w:val="0078552A"/>
    <w:rsid w:val="00785729"/>
    <w:rsid w:val="00786058"/>
    <w:rsid w:val="0079487D"/>
    <w:rsid w:val="007966D4"/>
    <w:rsid w:val="00796A0A"/>
    <w:rsid w:val="0079792C"/>
    <w:rsid w:val="007A0989"/>
    <w:rsid w:val="007A28CE"/>
    <w:rsid w:val="007A331F"/>
    <w:rsid w:val="007A3844"/>
    <w:rsid w:val="007A4381"/>
    <w:rsid w:val="007A5466"/>
    <w:rsid w:val="007A7EC1"/>
    <w:rsid w:val="007B2440"/>
    <w:rsid w:val="007B2669"/>
    <w:rsid w:val="007B4860"/>
    <w:rsid w:val="007B4FCA"/>
    <w:rsid w:val="007B7B85"/>
    <w:rsid w:val="007C462E"/>
    <w:rsid w:val="007C496B"/>
    <w:rsid w:val="007C6803"/>
    <w:rsid w:val="007D2892"/>
    <w:rsid w:val="007D2DCC"/>
    <w:rsid w:val="007D47E1"/>
    <w:rsid w:val="007D752B"/>
    <w:rsid w:val="007D7FCB"/>
    <w:rsid w:val="007E33B6"/>
    <w:rsid w:val="007E59E8"/>
    <w:rsid w:val="007F3861"/>
    <w:rsid w:val="007F4162"/>
    <w:rsid w:val="007F4DD3"/>
    <w:rsid w:val="007F5441"/>
    <w:rsid w:val="007F7668"/>
    <w:rsid w:val="00800C63"/>
    <w:rsid w:val="00802243"/>
    <w:rsid w:val="008023D4"/>
    <w:rsid w:val="00805402"/>
    <w:rsid w:val="0080765F"/>
    <w:rsid w:val="00812BE3"/>
    <w:rsid w:val="0081416D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1F8E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1ABF"/>
    <w:rsid w:val="009320D2"/>
    <w:rsid w:val="00932C77"/>
    <w:rsid w:val="0093417F"/>
    <w:rsid w:val="00934AC2"/>
    <w:rsid w:val="009375BB"/>
    <w:rsid w:val="009418E9"/>
    <w:rsid w:val="009420D4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3A7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479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66A4"/>
    <w:rsid w:val="00A70E35"/>
    <w:rsid w:val="00A71520"/>
    <w:rsid w:val="00A720DC"/>
    <w:rsid w:val="00A77DDB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555D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0B85"/>
    <w:rsid w:val="00B233BB"/>
    <w:rsid w:val="00B25612"/>
    <w:rsid w:val="00B26437"/>
    <w:rsid w:val="00B2678E"/>
    <w:rsid w:val="00B30647"/>
    <w:rsid w:val="00B31F0E"/>
    <w:rsid w:val="00B34F25"/>
    <w:rsid w:val="00B3792C"/>
    <w:rsid w:val="00B43672"/>
    <w:rsid w:val="00B473D8"/>
    <w:rsid w:val="00B5165A"/>
    <w:rsid w:val="00B524C1"/>
    <w:rsid w:val="00B52C8D"/>
    <w:rsid w:val="00B5629F"/>
    <w:rsid w:val="00B564BF"/>
    <w:rsid w:val="00B6104E"/>
    <w:rsid w:val="00B610C7"/>
    <w:rsid w:val="00B62106"/>
    <w:rsid w:val="00B626A8"/>
    <w:rsid w:val="00B64C72"/>
    <w:rsid w:val="00B652B5"/>
    <w:rsid w:val="00B65695"/>
    <w:rsid w:val="00B66526"/>
    <w:rsid w:val="00B665A3"/>
    <w:rsid w:val="00B73BB4"/>
    <w:rsid w:val="00B80532"/>
    <w:rsid w:val="00B82039"/>
    <w:rsid w:val="00B82454"/>
    <w:rsid w:val="00B874B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4A6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2A7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6FEB"/>
    <w:rsid w:val="00D22160"/>
    <w:rsid w:val="00D22172"/>
    <w:rsid w:val="00D2301B"/>
    <w:rsid w:val="00D239EE"/>
    <w:rsid w:val="00D30534"/>
    <w:rsid w:val="00D35585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1E12"/>
    <w:rsid w:val="00D63B53"/>
    <w:rsid w:val="00D64B88"/>
    <w:rsid w:val="00D64DC5"/>
    <w:rsid w:val="00D66BA6"/>
    <w:rsid w:val="00D700B1"/>
    <w:rsid w:val="00D730FA"/>
    <w:rsid w:val="00D731AD"/>
    <w:rsid w:val="00D76631"/>
    <w:rsid w:val="00D768B7"/>
    <w:rsid w:val="00D77492"/>
    <w:rsid w:val="00D811E8"/>
    <w:rsid w:val="00D81A44"/>
    <w:rsid w:val="00D83072"/>
    <w:rsid w:val="00D83ABC"/>
    <w:rsid w:val="00D84870"/>
    <w:rsid w:val="00D906BF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E79E1"/>
    <w:rsid w:val="00DF0834"/>
    <w:rsid w:val="00DF2707"/>
    <w:rsid w:val="00DF4D90"/>
    <w:rsid w:val="00DF529E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A68"/>
    <w:rsid w:val="00E21D55"/>
    <w:rsid w:val="00E21FDC"/>
    <w:rsid w:val="00E223B3"/>
    <w:rsid w:val="00E2551E"/>
    <w:rsid w:val="00E26B13"/>
    <w:rsid w:val="00E27428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01B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21D5"/>
    <w:rsid w:val="00EC379B"/>
    <w:rsid w:val="00EC37DF"/>
    <w:rsid w:val="00EC41B1"/>
    <w:rsid w:val="00EC5563"/>
    <w:rsid w:val="00ED0665"/>
    <w:rsid w:val="00ED12C0"/>
    <w:rsid w:val="00ED19F0"/>
    <w:rsid w:val="00ED2B50"/>
    <w:rsid w:val="00ED3A32"/>
    <w:rsid w:val="00ED3BDE"/>
    <w:rsid w:val="00ED68FB"/>
    <w:rsid w:val="00ED783A"/>
    <w:rsid w:val="00EE1313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5F9"/>
    <w:rsid w:val="00F20E5F"/>
    <w:rsid w:val="00F25CC2"/>
    <w:rsid w:val="00F27573"/>
    <w:rsid w:val="00F31876"/>
    <w:rsid w:val="00F31C67"/>
    <w:rsid w:val="00F31D28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1ECE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6FBF"/>
    <w:rsid w:val="00FF7565"/>
    <w:rsid w:val="00FF762D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B35E4F-2444-431D-99CD-2ACEE97C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66EB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66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6EB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2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28CE"/>
    <w:rPr>
      <w:b/>
      <w:bCs/>
    </w:rPr>
  </w:style>
  <w:style w:type="paragraph" w:styleId="Revision">
    <w:name w:val="Revision"/>
    <w:hidden/>
    <w:uiPriority w:val="99"/>
    <w:semiHidden/>
    <w:rsid w:val="007A28C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5F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2608</Characters>
  <Application>Microsoft Office Word</Application>
  <DocSecurity>4</DocSecurity>
  <Lines>71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HB02183 (Committee Report (Substituted))</vt:lpstr>
    </vt:vector>
  </TitlesOfParts>
  <Company>State of Texas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18448</dc:subject>
  <dc:creator>State of Texas</dc:creator>
  <dc:description>HB 2183 by Moody-(H)Judiciary &amp; Civil Jurisprudence (Substitute Document Number: 87R 16894)</dc:description>
  <cp:lastModifiedBy>Stacey Nicchio</cp:lastModifiedBy>
  <cp:revision>2</cp:revision>
  <cp:lastPrinted>2003-11-26T17:21:00Z</cp:lastPrinted>
  <dcterms:created xsi:type="dcterms:W3CDTF">2021-04-12T23:04:00Z</dcterms:created>
  <dcterms:modified xsi:type="dcterms:W3CDTF">2021-04-12T23:04:00Z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21.97.777</vt:lpwstr>
  </property>
</Properties>
</file>