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014AC" w14:paraId="73A84183" w14:textId="77777777" w:rsidTr="00345119">
        <w:tc>
          <w:tcPr>
            <w:tcW w:w="9576" w:type="dxa"/>
            <w:noWrap/>
          </w:tcPr>
          <w:p w14:paraId="1C1884B8" w14:textId="77777777" w:rsidR="008423E4" w:rsidRPr="0022177D" w:rsidRDefault="007E4773" w:rsidP="008C131E">
            <w:pPr>
              <w:pStyle w:val="Heading1"/>
            </w:pPr>
            <w:bookmarkStart w:id="0" w:name="_GoBack"/>
            <w:bookmarkEnd w:id="0"/>
            <w:r w:rsidRPr="00631897">
              <w:t>BILL ANALYSIS</w:t>
            </w:r>
          </w:p>
        </w:tc>
      </w:tr>
    </w:tbl>
    <w:p w14:paraId="18E6210C" w14:textId="77777777" w:rsidR="008423E4" w:rsidRPr="0022177D" w:rsidRDefault="008423E4" w:rsidP="008C131E">
      <w:pPr>
        <w:jc w:val="center"/>
      </w:pPr>
    </w:p>
    <w:p w14:paraId="4F8E96E9" w14:textId="77777777" w:rsidR="008423E4" w:rsidRPr="00B31F0E" w:rsidRDefault="008423E4" w:rsidP="008C131E"/>
    <w:p w14:paraId="2C404269" w14:textId="77777777" w:rsidR="008423E4" w:rsidRPr="00742794" w:rsidRDefault="008423E4" w:rsidP="008C131E">
      <w:pPr>
        <w:tabs>
          <w:tab w:val="right" w:pos="9360"/>
        </w:tabs>
      </w:pPr>
    </w:p>
    <w:tbl>
      <w:tblPr>
        <w:tblW w:w="0" w:type="auto"/>
        <w:tblLayout w:type="fixed"/>
        <w:tblLook w:val="01E0" w:firstRow="1" w:lastRow="1" w:firstColumn="1" w:lastColumn="1" w:noHBand="0" w:noVBand="0"/>
      </w:tblPr>
      <w:tblGrid>
        <w:gridCol w:w="9576"/>
      </w:tblGrid>
      <w:tr w:rsidR="00A014AC" w14:paraId="1D9BE258" w14:textId="77777777" w:rsidTr="00345119">
        <w:tc>
          <w:tcPr>
            <w:tcW w:w="9576" w:type="dxa"/>
          </w:tcPr>
          <w:p w14:paraId="384080D9" w14:textId="3903B589" w:rsidR="008423E4" w:rsidRPr="00861995" w:rsidRDefault="007E4773" w:rsidP="008C131E">
            <w:pPr>
              <w:jc w:val="right"/>
            </w:pPr>
            <w:r>
              <w:t>C.S.H.B. 2189</w:t>
            </w:r>
          </w:p>
        </w:tc>
      </w:tr>
      <w:tr w:rsidR="00A014AC" w14:paraId="4269A290" w14:textId="77777777" w:rsidTr="00345119">
        <w:tc>
          <w:tcPr>
            <w:tcW w:w="9576" w:type="dxa"/>
          </w:tcPr>
          <w:p w14:paraId="004717D3" w14:textId="424FC324" w:rsidR="008423E4" w:rsidRPr="00861995" w:rsidRDefault="007E4773" w:rsidP="008C131E">
            <w:pPr>
              <w:jc w:val="right"/>
            </w:pPr>
            <w:r>
              <w:t xml:space="preserve">By: </w:t>
            </w:r>
            <w:r w:rsidR="00F76E07">
              <w:t>King, Phil</w:t>
            </w:r>
          </w:p>
        </w:tc>
      </w:tr>
      <w:tr w:rsidR="00A014AC" w14:paraId="13759497" w14:textId="77777777" w:rsidTr="00345119">
        <w:tc>
          <w:tcPr>
            <w:tcW w:w="9576" w:type="dxa"/>
          </w:tcPr>
          <w:p w14:paraId="698E4EE5" w14:textId="1FF31727" w:rsidR="008423E4" w:rsidRPr="00861995" w:rsidRDefault="007E4773" w:rsidP="008C131E">
            <w:pPr>
              <w:jc w:val="right"/>
            </w:pPr>
            <w:r>
              <w:t>State Affairs</w:t>
            </w:r>
          </w:p>
        </w:tc>
      </w:tr>
      <w:tr w:rsidR="00A014AC" w14:paraId="381BB99E" w14:textId="77777777" w:rsidTr="00345119">
        <w:tc>
          <w:tcPr>
            <w:tcW w:w="9576" w:type="dxa"/>
          </w:tcPr>
          <w:p w14:paraId="20D21FD4" w14:textId="32425136" w:rsidR="008423E4" w:rsidRDefault="007E4773" w:rsidP="008C131E">
            <w:pPr>
              <w:jc w:val="right"/>
            </w:pPr>
            <w:r>
              <w:t>Committee Report (Substituted)</w:t>
            </w:r>
          </w:p>
        </w:tc>
      </w:tr>
    </w:tbl>
    <w:p w14:paraId="1AACC5AE" w14:textId="77777777" w:rsidR="008423E4" w:rsidRDefault="008423E4" w:rsidP="008C131E">
      <w:pPr>
        <w:tabs>
          <w:tab w:val="right" w:pos="9360"/>
        </w:tabs>
      </w:pPr>
    </w:p>
    <w:p w14:paraId="71287189" w14:textId="77777777" w:rsidR="008423E4" w:rsidRDefault="008423E4" w:rsidP="008C131E"/>
    <w:p w14:paraId="37987FFE" w14:textId="77777777" w:rsidR="008423E4" w:rsidRDefault="008423E4" w:rsidP="008C131E"/>
    <w:tbl>
      <w:tblPr>
        <w:tblW w:w="0" w:type="auto"/>
        <w:tblCellMar>
          <w:left w:w="115" w:type="dxa"/>
          <w:right w:w="115" w:type="dxa"/>
        </w:tblCellMar>
        <w:tblLook w:val="01E0" w:firstRow="1" w:lastRow="1" w:firstColumn="1" w:lastColumn="1" w:noHBand="0" w:noVBand="0"/>
      </w:tblPr>
      <w:tblGrid>
        <w:gridCol w:w="9582"/>
      </w:tblGrid>
      <w:tr w:rsidR="00A014AC" w14:paraId="109738E0" w14:textId="77777777" w:rsidTr="00D65D86">
        <w:tc>
          <w:tcPr>
            <w:tcW w:w="9582" w:type="dxa"/>
          </w:tcPr>
          <w:p w14:paraId="70730A6A" w14:textId="77777777" w:rsidR="008423E4" w:rsidRPr="00A8133F" w:rsidRDefault="007E4773" w:rsidP="008C131E">
            <w:pPr>
              <w:rPr>
                <w:b/>
              </w:rPr>
            </w:pPr>
            <w:r w:rsidRPr="009C1E9A">
              <w:rPr>
                <w:b/>
                <w:u w:val="single"/>
              </w:rPr>
              <w:t>BACKGROUND AND PURPOSE</w:t>
            </w:r>
            <w:r>
              <w:rPr>
                <w:b/>
              </w:rPr>
              <w:t xml:space="preserve"> </w:t>
            </w:r>
          </w:p>
          <w:p w14:paraId="086367DE" w14:textId="77777777" w:rsidR="008423E4" w:rsidRDefault="008423E4" w:rsidP="008C131E"/>
          <w:p w14:paraId="68945DBA" w14:textId="34124BE4" w:rsidR="008423E4" w:rsidRDefault="007E4773" w:rsidP="008C131E">
            <w:pPr>
              <w:pStyle w:val="Header"/>
              <w:jc w:val="both"/>
            </w:pPr>
            <w:r>
              <w:t xml:space="preserve">The </w:t>
            </w:r>
            <w:r w:rsidR="005928A6">
              <w:t>oil and gas sector has comprised between 30 and 40</w:t>
            </w:r>
            <w:r w:rsidR="000853DB">
              <w:t xml:space="preserve"> percent</w:t>
            </w:r>
            <w:r w:rsidR="005928A6">
              <w:t xml:space="preserve"> of </w:t>
            </w:r>
            <w:r w:rsidR="000853DB">
              <w:t xml:space="preserve">the </w:t>
            </w:r>
            <w:r w:rsidR="005928A6">
              <w:t>state</w:t>
            </w:r>
            <w:r w:rsidR="000853DB">
              <w:t>'s</w:t>
            </w:r>
            <w:r w:rsidR="005928A6">
              <w:t xml:space="preserve"> economic activity over the past decade</w:t>
            </w:r>
            <w:r>
              <w:t xml:space="preserve">. </w:t>
            </w:r>
            <w:r w:rsidR="005928A6">
              <w:t>In recent years</w:t>
            </w:r>
            <w:r w:rsidRPr="006D5C3C">
              <w:t xml:space="preserve">, </w:t>
            </w:r>
            <w:r w:rsidR="0095658F">
              <w:t>a number</w:t>
            </w:r>
            <w:r w:rsidR="000853DB">
              <w:t xml:space="preserve"> of</w:t>
            </w:r>
            <w:r w:rsidR="0095658F" w:rsidRPr="006D5C3C">
              <w:t xml:space="preserve"> </w:t>
            </w:r>
            <w:r w:rsidRPr="006D5C3C">
              <w:t xml:space="preserve">corporations have </w:t>
            </w:r>
            <w:r w:rsidR="005928A6">
              <w:t xml:space="preserve">begun to </w:t>
            </w:r>
            <w:r w:rsidRPr="006D5C3C">
              <w:t xml:space="preserve">prioritize </w:t>
            </w:r>
            <w:r w:rsidR="000853DB">
              <w:t xml:space="preserve">their </w:t>
            </w:r>
            <w:r w:rsidRPr="006D5C3C">
              <w:t>involvement in social issues</w:t>
            </w:r>
            <w:r w:rsidR="0095658F">
              <w:t>, such as environmentalism,</w:t>
            </w:r>
            <w:r w:rsidRPr="006D5C3C">
              <w:t xml:space="preserve"> </w:t>
            </w:r>
            <w:r w:rsidR="0095658F">
              <w:t xml:space="preserve">instead of focusing </w:t>
            </w:r>
            <w:r w:rsidR="000853DB">
              <w:t xml:space="preserve">solely </w:t>
            </w:r>
            <w:r w:rsidR="0095658F">
              <w:t>on</w:t>
            </w:r>
            <w:r w:rsidRPr="006D5C3C">
              <w:t xml:space="preserve"> their fiduciary responsibility. When state agencies contract </w:t>
            </w:r>
            <w:r w:rsidR="0095658F">
              <w:t xml:space="preserve">with </w:t>
            </w:r>
            <w:r w:rsidRPr="006D5C3C">
              <w:t>or invest funds in companies that boycott</w:t>
            </w:r>
            <w:r w:rsidRPr="006D5C3C">
              <w:t xml:space="preserve"> fossil fuel</w:t>
            </w:r>
            <w:r w:rsidR="003D525D">
              <w:t>-</w:t>
            </w:r>
            <w:r w:rsidRPr="006D5C3C">
              <w:t>based energy</w:t>
            </w:r>
            <w:r w:rsidR="0095658F">
              <w:t xml:space="preserve"> companies</w:t>
            </w:r>
            <w:r w:rsidRPr="006D5C3C">
              <w:t xml:space="preserve">, it has a direct and adverse effect on </w:t>
            </w:r>
            <w:r w:rsidR="0095658F">
              <w:t>the</w:t>
            </w:r>
            <w:r w:rsidR="0095658F" w:rsidRPr="006D5C3C">
              <w:t xml:space="preserve"> </w:t>
            </w:r>
            <w:r w:rsidR="000853DB">
              <w:t xml:space="preserve">Texas </w:t>
            </w:r>
            <w:r w:rsidR="0095658F">
              <w:t>economy</w:t>
            </w:r>
            <w:r w:rsidRPr="006D5C3C">
              <w:t>.</w:t>
            </w:r>
            <w:r>
              <w:t xml:space="preserve"> </w:t>
            </w:r>
            <w:r w:rsidR="0095658F">
              <w:t>C.S.H.B. 2189 seeks to ensure that</w:t>
            </w:r>
            <w:r w:rsidRPr="006D5C3C">
              <w:t xml:space="preserve"> taxpayer dollars are </w:t>
            </w:r>
            <w:r w:rsidR="0095658F">
              <w:t xml:space="preserve">not </w:t>
            </w:r>
            <w:r w:rsidRPr="006D5C3C">
              <w:t xml:space="preserve">being used to promote an agenda that hurts the </w:t>
            </w:r>
            <w:r w:rsidR="0095658F">
              <w:t>state's</w:t>
            </w:r>
            <w:r w:rsidR="0095658F" w:rsidRPr="006D5C3C">
              <w:t xml:space="preserve"> </w:t>
            </w:r>
            <w:r w:rsidRPr="006D5C3C">
              <w:t>energy sector and economy as a whole</w:t>
            </w:r>
            <w:r w:rsidR="0095658F">
              <w:t xml:space="preserve"> by prohibiting </w:t>
            </w:r>
            <w:r w:rsidRPr="006D5C3C">
              <w:t xml:space="preserve">investments </w:t>
            </w:r>
            <w:r w:rsidR="000853DB">
              <w:t>by</w:t>
            </w:r>
            <w:r w:rsidR="0095658F">
              <w:t xml:space="preserve"> certain state entities in </w:t>
            </w:r>
            <w:r w:rsidRPr="006D5C3C">
              <w:t xml:space="preserve">companies </w:t>
            </w:r>
            <w:r w:rsidR="003D525D">
              <w:t>that</w:t>
            </w:r>
            <w:r w:rsidR="003D525D" w:rsidRPr="006D5C3C">
              <w:t xml:space="preserve"> </w:t>
            </w:r>
            <w:r w:rsidRPr="006D5C3C">
              <w:t>boycott the</w:t>
            </w:r>
            <w:r w:rsidR="0095658F">
              <w:t>se</w:t>
            </w:r>
            <w:r w:rsidRPr="006D5C3C">
              <w:t xml:space="preserve"> energy </w:t>
            </w:r>
            <w:r w:rsidR="0095658F">
              <w:t>companies</w:t>
            </w:r>
            <w:r>
              <w:t>.</w:t>
            </w:r>
          </w:p>
          <w:p w14:paraId="1EDC9D9C" w14:textId="77777777" w:rsidR="008423E4" w:rsidRPr="00E26B13" w:rsidRDefault="008423E4" w:rsidP="008C131E">
            <w:pPr>
              <w:rPr>
                <w:b/>
              </w:rPr>
            </w:pPr>
          </w:p>
        </w:tc>
      </w:tr>
      <w:tr w:rsidR="00A014AC" w14:paraId="4C4A8C91" w14:textId="77777777" w:rsidTr="00D65D86">
        <w:tc>
          <w:tcPr>
            <w:tcW w:w="9582" w:type="dxa"/>
          </w:tcPr>
          <w:p w14:paraId="146D9CA1" w14:textId="77777777" w:rsidR="0017725B" w:rsidRDefault="007E4773" w:rsidP="008C131E">
            <w:pPr>
              <w:rPr>
                <w:b/>
                <w:u w:val="single"/>
              </w:rPr>
            </w:pPr>
            <w:r>
              <w:rPr>
                <w:b/>
                <w:u w:val="single"/>
              </w:rPr>
              <w:t>CRIMINAL JUSTICE IMPACT</w:t>
            </w:r>
          </w:p>
          <w:p w14:paraId="4C1E8941" w14:textId="77777777" w:rsidR="0017725B" w:rsidRDefault="0017725B" w:rsidP="008C131E">
            <w:pPr>
              <w:rPr>
                <w:b/>
                <w:u w:val="single"/>
              </w:rPr>
            </w:pPr>
          </w:p>
          <w:p w14:paraId="4A84685E" w14:textId="77777777" w:rsidR="009170D0" w:rsidRPr="009170D0" w:rsidRDefault="007E4773" w:rsidP="008C131E">
            <w:pPr>
              <w:jc w:val="both"/>
            </w:pPr>
            <w:r>
              <w:t>It is the committee's opinion that this bill does not expressly create a criminal offense, increase the punishment for an exi</w:t>
            </w:r>
            <w:r>
              <w:t>sting criminal offense or category of offenses, or change the eligibility of a person for community supervision, parole, or mandatory supervision.</w:t>
            </w:r>
          </w:p>
          <w:p w14:paraId="54A4AB40" w14:textId="77777777" w:rsidR="0017725B" w:rsidRPr="0017725B" w:rsidRDefault="0017725B" w:rsidP="008C131E">
            <w:pPr>
              <w:rPr>
                <w:b/>
                <w:u w:val="single"/>
              </w:rPr>
            </w:pPr>
          </w:p>
        </w:tc>
      </w:tr>
      <w:tr w:rsidR="00A014AC" w14:paraId="3C12D591" w14:textId="77777777" w:rsidTr="00D65D86">
        <w:tc>
          <w:tcPr>
            <w:tcW w:w="9582" w:type="dxa"/>
          </w:tcPr>
          <w:p w14:paraId="62FF7A1B" w14:textId="77777777" w:rsidR="008423E4" w:rsidRPr="00A8133F" w:rsidRDefault="007E4773" w:rsidP="008C131E">
            <w:pPr>
              <w:rPr>
                <w:b/>
              </w:rPr>
            </w:pPr>
            <w:r w:rsidRPr="009C1E9A">
              <w:rPr>
                <w:b/>
                <w:u w:val="single"/>
              </w:rPr>
              <w:t>RULEMAKING AUTHORITY</w:t>
            </w:r>
            <w:r>
              <w:rPr>
                <w:b/>
              </w:rPr>
              <w:t xml:space="preserve"> </w:t>
            </w:r>
          </w:p>
          <w:p w14:paraId="7DFC3911" w14:textId="77777777" w:rsidR="008423E4" w:rsidRDefault="008423E4" w:rsidP="008C131E"/>
          <w:p w14:paraId="50264A85" w14:textId="77777777" w:rsidR="00337075" w:rsidRDefault="007E4773" w:rsidP="008C131E">
            <w:pPr>
              <w:pStyle w:val="Header"/>
              <w:jc w:val="both"/>
            </w:pPr>
            <w:r w:rsidRPr="009170D0">
              <w:t>It is the committee's opinion that this bill does not expressly grant any additional</w:t>
            </w:r>
            <w:r w:rsidRPr="009170D0">
              <w:t xml:space="preserve"> rulemaking authority to a state officer, department, agency, or institution.</w:t>
            </w:r>
          </w:p>
          <w:p w14:paraId="6805A835" w14:textId="77777777" w:rsidR="00337075" w:rsidRPr="009170D0" w:rsidRDefault="00337075" w:rsidP="008C131E"/>
        </w:tc>
      </w:tr>
      <w:tr w:rsidR="00A014AC" w14:paraId="7EE1BE08" w14:textId="77777777" w:rsidTr="00D65D86">
        <w:tc>
          <w:tcPr>
            <w:tcW w:w="9582" w:type="dxa"/>
          </w:tcPr>
          <w:p w14:paraId="3997ED20" w14:textId="77777777" w:rsidR="008423E4" w:rsidRPr="00A8133F" w:rsidRDefault="007E4773" w:rsidP="008C131E">
            <w:pPr>
              <w:rPr>
                <w:b/>
              </w:rPr>
            </w:pPr>
            <w:r w:rsidRPr="009C1E9A">
              <w:rPr>
                <w:b/>
                <w:u w:val="single"/>
              </w:rPr>
              <w:t>ANALYSIS</w:t>
            </w:r>
            <w:r>
              <w:rPr>
                <w:b/>
              </w:rPr>
              <w:t xml:space="preserve"> </w:t>
            </w:r>
          </w:p>
          <w:p w14:paraId="1470A91D" w14:textId="77777777" w:rsidR="008423E4" w:rsidRDefault="008423E4" w:rsidP="008C131E"/>
          <w:p w14:paraId="676971C7" w14:textId="7C392DD8" w:rsidR="0062194E" w:rsidRDefault="007E4773" w:rsidP="008C131E">
            <w:pPr>
              <w:pStyle w:val="Header"/>
              <w:jc w:val="both"/>
            </w:pPr>
            <w:r>
              <w:t>C.S.</w:t>
            </w:r>
            <w:r w:rsidR="00D0406A">
              <w:t>H.B. 2189</w:t>
            </w:r>
            <w:r w:rsidR="00A00E9D">
              <w:t xml:space="preserve"> amends the Government Code to prohibit a </w:t>
            </w:r>
            <w:r w:rsidR="00E628F1">
              <w:t xml:space="preserve">state agency or political subdivision </w:t>
            </w:r>
            <w:r w:rsidR="00A00E9D">
              <w:t>from entering into a</w:t>
            </w:r>
            <w:r w:rsidR="00427C68">
              <w:t>n applicable</w:t>
            </w:r>
            <w:r w:rsidR="00A00E9D">
              <w:t xml:space="preserve"> contract with a company for goods</w:t>
            </w:r>
            <w:r w:rsidR="00D0406A">
              <w:t xml:space="preserve"> </w:t>
            </w:r>
            <w:r w:rsidR="00A00E9D">
              <w:t>and services unless the contract contains a written verif</w:t>
            </w:r>
            <w:r w:rsidR="00671942">
              <w:t>ication from the company that it</w:t>
            </w:r>
            <w:r w:rsidR="00A00E9D">
              <w:t xml:space="preserve"> does not </w:t>
            </w:r>
            <w:r w:rsidR="00E0799A">
              <w:t xml:space="preserve">and will not during the </w:t>
            </w:r>
            <w:r w:rsidR="00D0406A">
              <w:t xml:space="preserve">contract </w:t>
            </w:r>
            <w:r w:rsidR="00E0799A">
              <w:t xml:space="preserve">term </w:t>
            </w:r>
            <w:r w:rsidR="00D0406A">
              <w:t xml:space="preserve">boycott </w:t>
            </w:r>
            <w:r w:rsidR="0082796F">
              <w:t>energy</w:t>
            </w:r>
            <w:r w:rsidR="00D0406A">
              <w:t xml:space="preserve"> companies</w:t>
            </w:r>
            <w:r w:rsidR="004B07F0">
              <w:t xml:space="preserve">. </w:t>
            </w:r>
            <w:r w:rsidR="00427C68">
              <w:t xml:space="preserve">That prohibition applies only to a contract </w:t>
            </w:r>
            <w:r w:rsidR="0003781C">
              <w:t xml:space="preserve">with a minimum value of $100,000 </w:t>
            </w:r>
            <w:r w:rsidR="00427C68">
              <w:t>that is between such a governmental entity and a company</w:t>
            </w:r>
            <w:r w:rsidR="00F6343A">
              <w:t xml:space="preserve"> </w:t>
            </w:r>
            <w:r w:rsidR="00427C68">
              <w:t xml:space="preserve">with 10 or more full-time employees and that is to be paid at least in part from the entity's public funds. </w:t>
            </w:r>
          </w:p>
          <w:p w14:paraId="443570E0" w14:textId="77777777" w:rsidR="0062194E" w:rsidRDefault="0062194E" w:rsidP="008C131E">
            <w:pPr>
              <w:pStyle w:val="Header"/>
              <w:jc w:val="both"/>
            </w:pPr>
          </w:p>
          <w:p w14:paraId="411471C3" w14:textId="7B5A994F" w:rsidR="009170D0" w:rsidRDefault="007E4773" w:rsidP="008C131E">
            <w:pPr>
              <w:pStyle w:val="Header"/>
              <w:jc w:val="both"/>
            </w:pPr>
            <w:r>
              <w:t>C.S.</w:t>
            </w:r>
            <w:r w:rsidR="0062194E">
              <w:t>H.B. 2189</w:t>
            </w:r>
            <w:r w:rsidR="00671942">
              <w:t xml:space="preserve"> define</w:t>
            </w:r>
            <w:r w:rsidR="004B07F0">
              <w:t>s</w:t>
            </w:r>
            <w:r w:rsidR="00332BEB">
              <w:t>, among other terms,</w:t>
            </w:r>
            <w:r w:rsidR="004B07F0">
              <w:t xml:space="preserve"> "boycott </w:t>
            </w:r>
            <w:r w:rsidR="0082796F">
              <w:t>energy</w:t>
            </w:r>
            <w:r w:rsidR="00D0406A">
              <w:t xml:space="preserve"> company</w:t>
            </w:r>
            <w:r w:rsidR="004B07F0">
              <w:t xml:space="preserve">" </w:t>
            </w:r>
            <w:r w:rsidR="00337075">
              <w:t>as</w:t>
            </w:r>
            <w:r w:rsidR="00A16C70">
              <w:t xml:space="preserve"> </w:t>
            </w:r>
            <w:r w:rsidR="004B07F0">
              <w:t xml:space="preserve">refusing </w:t>
            </w:r>
            <w:r w:rsidR="00671942">
              <w:t>to deal with, terminating business activities with, or otherwise taking any action that is</w:t>
            </w:r>
            <w:r w:rsidR="00A16C70">
              <w:t>, solely or primarily,</w:t>
            </w:r>
            <w:r w:rsidR="00671942">
              <w:t xml:space="preserve"> intended to penalize, inflict economic harm on, or limit commercial relations specifically with </w:t>
            </w:r>
            <w:r w:rsidR="00D0406A">
              <w:t xml:space="preserve">a company </w:t>
            </w:r>
            <w:r w:rsidR="00427C68">
              <w:t xml:space="preserve">because the company </w:t>
            </w:r>
            <w:r w:rsidR="00A16C70">
              <w:t>engages</w:t>
            </w:r>
            <w:r w:rsidR="00427C68">
              <w:t xml:space="preserve"> in the exploration, production, utilization, transportation,</w:t>
            </w:r>
            <w:r w:rsidR="001E35CE">
              <w:t xml:space="preserve"> sale,</w:t>
            </w:r>
            <w:r w:rsidR="00427C68">
              <w:t xml:space="preserve"> or manufacturing of fossil fuel-based </w:t>
            </w:r>
            <w:r w:rsidR="0082796F">
              <w:t>energy</w:t>
            </w:r>
            <w:r w:rsidR="00427C68">
              <w:t xml:space="preserve"> </w:t>
            </w:r>
            <w:r w:rsidR="00A16C70" w:rsidRPr="00A16C70">
              <w:t xml:space="preserve">and does not commit or pledge to meet environmental standards beyond applicable federal and state law </w:t>
            </w:r>
            <w:r w:rsidR="00427C68">
              <w:t xml:space="preserve">or </w:t>
            </w:r>
            <w:r w:rsidR="0003781C">
              <w:t xml:space="preserve">with a company </w:t>
            </w:r>
            <w:r w:rsidR="00427C68">
              <w:t>that does business with such a company.</w:t>
            </w:r>
            <w:r w:rsidR="000019B7">
              <w:tab/>
            </w:r>
          </w:p>
          <w:p w14:paraId="485D1078" w14:textId="77777777" w:rsidR="009170D0" w:rsidRDefault="009170D0" w:rsidP="008C131E">
            <w:pPr>
              <w:pStyle w:val="Header"/>
              <w:jc w:val="both"/>
            </w:pPr>
          </w:p>
          <w:p w14:paraId="6D5382C0" w14:textId="3CF62F96" w:rsidR="00664BE3" w:rsidRDefault="007E4773" w:rsidP="008C131E">
            <w:pPr>
              <w:pStyle w:val="Header"/>
              <w:jc w:val="both"/>
            </w:pPr>
            <w:r>
              <w:t>C.S.</w:t>
            </w:r>
            <w:r w:rsidR="00D0406A">
              <w:t>H.B. 2189</w:t>
            </w:r>
            <w:r w:rsidR="009170D0">
              <w:t xml:space="preserve"> </w:t>
            </w:r>
            <w:r w:rsidR="00A00E9D">
              <w:t>require</w:t>
            </w:r>
            <w:r w:rsidR="009170D0">
              <w:t>s</w:t>
            </w:r>
            <w:r w:rsidR="00A00E9D">
              <w:t xml:space="preserve"> the </w:t>
            </w:r>
            <w:r w:rsidR="00A00E9D" w:rsidRPr="009170D0">
              <w:t>comptroller</w:t>
            </w:r>
            <w:r w:rsidR="009170D0">
              <w:t xml:space="preserve"> of public accounts</w:t>
            </w:r>
            <w:r w:rsidR="00A00E9D">
              <w:t xml:space="preserve"> to prepare and maintain</w:t>
            </w:r>
            <w:r w:rsidR="00EE3FE5">
              <w:t xml:space="preserve"> a list of all </w:t>
            </w:r>
            <w:r w:rsidR="00F6343A">
              <w:t xml:space="preserve">publicly traded financial services, banking, or investment </w:t>
            </w:r>
            <w:r w:rsidR="00EE3FE5">
              <w:t xml:space="preserve">companies that boycott </w:t>
            </w:r>
            <w:r w:rsidR="0082796F">
              <w:t>energy companies</w:t>
            </w:r>
            <w:r w:rsidR="00A00E9D">
              <w:t xml:space="preserve"> and </w:t>
            </w:r>
            <w:r w:rsidR="00EE3FE5">
              <w:t xml:space="preserve">to </w:t>
            </w:r>
            <w:r w:rsidR="00A00E9D">
              <w:t>provide</w:t>
            </w:r>
            <w:r w:rsidR="00EE3FE5">
              <w:t xml:space="preserve"> that list</w:t>
            </w:r>
            <w:r w:rsidR="00A00E9D">
              <w:t xml:space="preserve"> to </w:t>
            </w:r>
            <w:r>
              <w:t>the</w:t>
            </w:r>
            <w:r w:rsidR="00C15B25">
              <w:t xml:space="preserve"> </w:t>
            </w:r>
            <w:r>
              <w:t xml:space="preserve">following </w:t>
            </w:r>
            <w:r w:rsidR="00C15B25">
              <w:t>state governmental entit</w:t>
            </w:r>
            <w:r>
              <w:t>ies:</w:t>
            </w:r>
          </w:p>
          <w:p w14:paraId="54454D2C" w14:textId="1404D44D" w:rsidR="00664BE3" w:rsidRDefault="007E4773" w:rsidP="008C131E">
            <w:pPr>
              <w:pStyle w:val="Header"/>
              <w:numPr>
                <w:ilvl w:val="0"/>
                <w:numId w:val="1"/>
              </w:numPr>
              <w:jc w:val="both"/>
            </w:pPr>
            <w:r>
              <w:t xml:space="preserve">the </w:t>
            </w:r>
            <w:r>
              <w:t>Employees Retirement System of Texas (ERS), including a retirement system administered by ERS;</w:t>
            </w:r>
          </w:p>
          <w:p w14:paraId="59EEDDDC" w14:textId="185138C2" w:rsidR="00664BE3" w:rsidRDefault="007E4773" w:rsidP="008C131E">
            <w:pPr>
              <w:pStyle w:val="Header"/>
              <w:numPr>
                <w:ilvl w:val="0"/>
                <w:numId w:val="1"/>
              </w:numPr>
              <w:jc w:val="both"/>
            </w:pPr>
            <w:r>
              <w:t>the Teacher Retirement System of Texas;</w:t>
            </w:r>
          </w:p>
          <w:p w14:paraId="5FD1F635" w14:textId="7EFB3973" w:rsidR="00664BE3" w:rsidRDefault="007E4773" w:rsidP="008C131E">
            <w:pPr>
              <w:pStyle w:val="Header"/>
              <w:numPr>
                <w:ilvl w:val="0"/>
                <w:numId w:val="1"/>
              </w:numPr>
              <w:jc w:val="both"/>
            </w:pPr>
            <w:r>
              <w:t>the Texas Municipal Retirement System;</w:t>
            </w:r>
          </w:p>
          <w:p w14:paraId="7C78ECF4" w14:textId="06D7DBDB" w:rsidR="00664BE3" w:rsidRDefault="007E4773" w:rsidP="008C131E">
            <w:pPr>
              <w:pStyle w:val="Header"/>
              <w:numPr>
                <w:ilvl w:val="0"/>
                <w:numId w:val="1"/>
              </w:numPr>
              <w:jc w:val="both"/>
            </w:pPr>
            <w:r>
              <w:t>the Texas County and District Retirement System;</w:t>
            </w:r>
          </w:p>
          <w:p w14:paraId="61453457" w14:textId="5B014BA6" w:rsidR="00664BE3" w:rsidRDefault="007E4773" w:rsidP="008C131E">
            <w:pPr>
              <w:pStyle w:val="Header"/>
              <w:numPr>
                <w:ilvl w:val="0"/>
                <w:numId w:val="1"/>
              </w:numPr>
              <w:jc w:val="both"/>
            </w:pPr>
            <w:r>
              <w:t>the Texas Emergency Services Reti</w:t>
            </w:r>
            <w:r>
              <w:t>rement System; and</w:t>
            </w:r>
          </w:p>
          <w:p w14:paraId="4EEDB92C" w14:textId="03049142" w:rsidR="00664BE3" w:rsidRDefault="007E4773" w:rsidP="008C131E">
            <w:pPr>
              <w:pStyle w:val="Header"/>
              <w:numPr>
                <w:ilvl w:val="0"/>
                <w:numId w:val="1"/>
              </w:numPr>
              <w:jc w:val="both"/>
            </w:pPr>
            <w:r>
              <w:t xml:space="preserve">the permanent school fund. </w:t>
            </w:r>
          </w:p>
          <w:p w14:paraId="354DA223" w14:textId="73404799" w:rsidR="00A00E9D" w:rsidRDefault="007E4773" w:rsidP="008C131E">
            <w:pPr>
              <w:pStyle w:val="Header"/>
              <w:jc w:val="both"/>
            </w:pPr>
            <w:r>
              <w:t xml:space="preserve">The bill </w:t>
            </w:r>
            <w:r w:rsidR="0063552A">
              <w:t xml:space="preserve">sets out provisions relating to </w:t>
            </w:r>
            <w:r w:rsidR="0062194E">
              <w:t>maintaining</w:t>
            </w:r>
            <w:r w:rsidR="0063552A">
              <w:t xml:space="preserve"> and updating that list</w:t>
            </w:r>
            <w:r w:rsidR="00B35B74">
              <w:t xml:space="preserve">, including </w:t>
            </w:r>
            <w:r w:rsidR="00F24F63">
              <w:t xml:space="preserve">an </w:t>
            </w:r>
            <w:r w:rsidR="00B35B74">
              <w:t>authoriz</w:t>
            </w:r>
            <w:r w:rsidR="00F24F63">
              <w:t>ation</w:t>
            </w:r>
            <w:r w:rsidR="00B35B74">
              <w:t xml:space="preserve"> </w:t>
            </w:r>
            <w:r w:rsidR="00F24F63">
              <w:t xml:space="preserve">for </w:t>
            </w:r>
            <w:r w:rsidR="00B35B74">
              <w:t>the comptroller to request written verification from a company that it does not boycott energy companies</w:t>
            </w:r>
            <w:r w:rsidR="004B43D2">
              <w:t xml:space="preserve"> and rely on the company's written response </w:t>
            </w:r>
            <w:r w:rsidR="00F24F63">
              <w:t>without further investigation</w:t>
            </w:r>
            <w:r w:rsidR="0063552A">
              <w:t xml:space="preserve">. </w:t>
            </w:r>
            <w:r w:rsidR="00B35B74">
              <w:t xml:space="preserve">The bill establishes that a financial company that fails to provide the written verification before the </w:t>
            </w:r>
            <w:r w:rsidR="00B35B74" w:rsidRPr="00B35B74">
              <w:t>61st day after receiving the request from the comptroller is presumed to be boycotting energy companies.</w:t>
            </w:r>
            <w:r w:rsidR="00B35B74">
              <w:t xml:space="preserve"> </w:t>
            </w:r>
            <w:r>
              <w:t xml:space="preserve">The bill requires the comptroller, not later than the 30th day after the date the list is first provided or updated, </w:t>
            </w:r>
            <w:r w:rsidR="00E675A2">
              <w:t xml:space="preserve">to post the list on a publicly available website and </w:t>
            </w:r>
            <w:r>
              <w:t>to file the list with the presiding officer of each hou</w:t>
            </w:r>
            <w:r>
              <w:t>se of the legislature and the attorney general.</w:t>
            </w:r>
          </w:p>
          <w:p w14:paraId="7E51EAAF" w14:textId="77777777" w:rsidR="00A00E9D" w:rsidRDefault="00A00E9D" w:rsidP="008C131E">
            <w:pPr>
              <w:pStyle w:val="Header"/>
              <w:jc w:val="both"/>
            </w:pPr>
          </w:p>
          <w:p w14:paraId="31B24956" w14:textId="6BB83D55" w:rsidR="00055FE4" w:rsidRDefault="007E4773" w:rsidP="008C131E">
            <w:pPr>
              <w:pStyle w:val="Header"/>
              <w:jc w:val="both"/>
            </w:pPr>
            <w:r>
              <w:t>C.S.</w:t>
            </w:r>
            <w:r w:rsidR="00D0406A">
              <w:t>H.B. 2189</w:t>
            </w:r>
            <w:r w:rsidR="00671942">
              <w:t xml:space="preserve"> requires </w:t>
            </w:r>
            <w:r w:rsidR="008B0E50">
              <w:t>each</w:t>
            </w:r>
            <w:r w:rsidR="00671942">
              <w:t xml:space="preserve"> </w:t>
            </w:r>
            <w:r w:rsidR="00FF6F1F">
              <w:t xml:space="preserve">applicable </w:t>
            </w:r>
            <w:r w:rsidR="00671942">
              <w:t xml:space="preserve">state governmental </w:t>
            </w:r>
            <w:r w:rsidR="00A00E9D">
              <w:t xml:space="preserve">entity, not later than the 30th day after the date </w:t>
            </w:r>
            <w:r w:rsidR="008B0E50">
              <w:t xml:space="preserve">the entity </w:t>
            </w:r>
            <w:r w:rsidR="00A00E9D">
              <w:t xml:space="preserve">receives the list, to notify the comptroller of the listed </w:t>
            </w:r>
            <w:r w:rsidR="00A16C70">
              <w:t xml:space="preserve">financial </w:t>
            </w:r>
            <w:r w:rsidR="00A00E9D">
              <w:t xml:space="preserve">companies in which the entity owns direct holdings or indirect holdings. The bill </w:t>
            </w:r>
            <w:r>
              <w:t>provides the following:</w:t>
            </w:r>
          </w:p>
          <w:p w14:paraId="664C4EC7" w14:textId="5F009E34" w:rsidR="00055FE4" w:rsidRDefault="007E4773" w:rsidP="008C131E">
            <w:pPr>
              <w:pStyle w:val="Header"/>
              <w:numPr>
                <w:ilvl w:val="0"/>
                <w:numId w:val="5"/>
              </w:numPr>
              <w:jc w:val="both"/>
            </w:pPr>
            <w:r>
              <w:t xml:space="preserve">the </w:t>
            </w:r>
            <w:r w:rsidR="00A00E9D">
              <w:t xml:space="preserve">entity, for each listed company, </w:t>
            </w:r>
            <w:r>
              <w:t xml:space="preserve">must </w:t>
            </w:r>
            <w:r w:rsidR="00A00E9D">
              <w:t>send a written notice informing the company of its status as a listed company</w:t>
            </w:r>
            <w:r w:rsidR="002F6CD2">
              <w:t>,</w:t>
            </w:r>
            <w:r w:rsidR="00A00E9D">
              <w:t xml:space="preserve"> warn</w:t>
            </w:r>
            <w:r w:rsidR="002F6CD2">
              <w:t>ing</w:t>
            </w:r>
            <w:r w:rsidR="00A00E9D">
              <w:t xml:space="preserve"> the company that it may become subject to divestment by state governmental entities</w:t>
            </w:r>
            <w:r w:rsidR="002F6CD2">
              <w:t>, and</w:t>
            </w:r>
            <w:r w:rsidR="00A00E9D">
              <w:t xml:space="preserve"> offer</w:t>
            </w:r>
            <w:r w:rsidR="002F6CD2">
              <w:t>ing</w:t>
            </w:r>
            <w:r w:rsidR="00A00E9D">
              <w:t xml:space="preserve"> the company the opportunity to clarify its</w:t>
            </w:r>
            <w:r w:rsidR="00E125B4">
              <w:t xml:space="preserve"> activities related to</w:t>
            </w:r>
            <w:r w:rsidR="00A00E9D">
              <w:t xml:space="preserve"> </w:t>
            </w:r>
            <w:r w:rsidR="00E92AA5">
              <w:t>e</w:t>
            </w:r>
            <w:r w:rsidR="0082796F">
              <w:t>nergy companies</w:t>
            </w:r>
            <w:r>
              <w:t>;</w:t>
            </w:r>
          </w:p>
          <w:p w14:paraId="0552DE4D" w14:textId="0F0B5219" w:rsidR="00055FE4" w:rsidRDefault="007E4773" w:rsidP="008C131E">
            <w:pPr>
              <w:pStyle w:val="Header"/>
              <w:numPr>
                <w:ilvl w:val="0"/>
                <w:numId w:val="5"/>
              </w:numPr>
              <w:jc w:val="both"/>
            </w:pPr>
            <w:r>
              <w:t>n</w:t>
            </w:r>
            <w:r w:rsidR="00A00E9D">
              <w:t>ot later than the 90th day after receiv</w:t>
            </w:r>
            <w:r w:rsidR="009B7164">
              <w:t>ing</w:t>
            </w:r>
            <w:r w:rsidR="00A00E9D">
              <w:t xml:space="preserve"> </w:t>
            </w:r>
            <w:r w:rsidR="009B7164">
              <w:t>the</w:t>
            </w:r>
            <w:r w:rsidR="00A00E9D">
              <w:t xml:space="preserve"> notice, </w:t>
            </w:r>
            <w:r w:rsidR="0063552A">
              <w:t xml:space="preserve">such a company </w:t>
            </w:r>
            <w:r>
              <w:t>must</w:t>
            </w:r>
            <w:r w:rsidR="00A00E9D">
              <w:t xml:space="preserve"> cease boycotting </w:t>
            </w:r>
            <w:r w:rsidR="00E40E0C">
              <w:t>e</w:t>
            </w:r>
            <w:r w:rsidR="0082796F">
              <w:t>nergy companies</w:t>
            </w:r>
            <w:r w:rsidR="00A00E9D">
              <w:t xml:space="preserve"> in order to avoid qualifying for divestment</w:t>
            </w:r>
            <w:r>
              <w:t>; and</w:t>
            </w:r>
          </w:p>
          <w:p w14:paraId="1A9EDCC0" w14:textId="65031270" w:rsidR="00055FE4" w:rsidRDefault="007E4773" w:rsidP="008C131E">
            <w:pPr>
              <w:pStyle w:val="Header"/>
              <w:numPr>
                <w:ilvl w:val="0"/>
                <w:numId w:val="5"/>
              </w:numPr>
              <w:jc w:val="both"/>
            </w:pPr>
            <w:r>
              <w:t xml:space="preserve">the comptroller must remove </w:t>
            </w:r>
            <w:r w:rsidR="00E173A1">
              <w:t xml:space="preserve">from its list </w:t>
            </w:r>
            <w:r>
              <w:t xml:space="preserve">a company that ceases boycotting energy companies during the time provided and, in such a circumstance, the bill's provisions prohibiting investment in the company </w:t>
            </w:r>
            <w:r>
              <w:t>no longer apply to the company unless it resumes boycotting energy companies.</w:t>
            </w:r>
          </w:p>
          <w:p w14:paraId="074F65ED" w14:textId="3FDE1E05" w:rsidR="00A00E9D" w:rsidRDefault="007E4773" w:rsidP="008C131E">
            <w:pPr>
              <w:pStyle w:val="Header"/>
              <w:jc w:val="both"/>
            </w:pPr>
            <w:r>
              <w:t xml:space="preserve"> </w:t>
            </w:r>
          </w:p>
          <w:p w14:paraId="0C05E2F5" w14:textId="1CF605BD" w:rsidR="00A00E9D" w:rsidRDefault="007E4773" w:rsidP="008C131E">
            <w:pPr>
              <w:pStyle w:val="Header"/>
              <w:jc w:val="both"/>
            </w:pPr>
            <w:r>
              <w:t>C.S.</w:t>
            </w:r>
            <w:r w:rsidR="00D0406A">
              <w:t>H.B. 2189</w:t>
            </w:r>
            <w:r>
              <w:t xml:space="preserve"> requires </w:t>
            </w:r>
            <w:r w:rsidR="00C15B25">
              <w:t>a</w:t>
            </w:r>
            <w:r w:rsidR="00E40E0C">
              <w:t>n applicable</w:t>
            </w:r>
            <w:r w:rsidR="00C15B25">
              <w:t xml:space="preserve"> </w:t>
            </w:r>
            <w:r>
              <w:t>state governmental entity</w:t>
            </w:r>
            <w:r w:rsidR="00E71D3D">
              <w:t xml:space="preserve"> </w:t>
            </w:r>
            <w:r>
              <w:t xml:space="preserve">to sell, redeem, divest, or withdraw all publicly traded securities of </w:t>
            </w:r>
            <w:r w:rsidR="00E40E0C">
              <w:t xml:space="preserve">a listed </w:t>
            </w:r>
            <w:r w:rsidR="008475BA">
              <w:t xml:space="preserve">financial </w:t>
            </w:r>
            <w:r>
              <w:t>company</w:t>
            </w:r>
            <w:r w:rsidR="00E71D3D">
              <w:t xml:space="preserve"> </w:t>
            </w:r>
            <w:r w:rsidR="00E40E0C">
              <w:t xml:space="preserve">that continues to boycott energy companies after the time provided expires </w:t>
            </w:r>
            <w:r w:rsidR="00E71D3D">
              <w:t>according to a prescribed schedule</w:t>
            </w:r>
            <w:r>
              <w:t xml:space="preserve">. The bill </w:t>
            </w:r>
            <w:r w:rsidR="00D5458E">
              <w:t xml:space="preserve">expressly </w:t>
            </w:r>
            <w:r>
              <w:t>does not require divest</w:t>
            </w:r>
            <w:r w:rsidR="00E40E0C">
              <w:t>ment</w:t>
            </w:r>
            <w:r>
              <w:t xml:space="preserve"> from any indirect holdings</w:t>
            </w:r>
            <w:r w:rsidR="00337075">
              <w:t xml:space="preserve"> </w:t>
            </w:r>
            <w:r>
              <w:t>in actively or passively managed investment funds or private equity funds</w:t>
            </w:r>
            <w:r w:rsidR="00C15B25">
              <w:t xml:space="preserve"> but </w:t>
            </w:r>
            <w:r>
              <w:t>requires</w:t>
            </w:r>
            <w:r>
              <w:t xml:space="preserve"> </w:t>
            </w:r>
            <w:r w:rsidR="00C15B25">
              <w:t xml:space="preserve">an </w:t>
            </w:r>
            <w:r>
              <w:t>entity to submit letters to the managers of each investment fund containing listed companies requesting that they remove those companies from the fund or create a similar actively or passively managed fund with indirect holdings devoid of listed compan</w:t>
            </w:r>
            <w:r>
              <w:t xml:space="preserve">ies. </w:t>
            </w:r>
            <w:r w:rsidR="00E40E0C">
              <w:t>I</w:t>
            </w:r>
            <w:r>
              <w:t xml:space="preserve">f a manager creates a similar fund with substantially the same management fees and same level of investment risk and anticipated return, </w:t>
            </w:r>
            <w:r w:rsidR="00E40E0C">
              <w:t>the state governmental entity may</w:t>
            </w:r>
            <w:r>
              <w:t xml:space="preserve"> replace all applicable investments with investments in the similar fund in a ti</w:t>
            </w:r>
            <w:r>
              <w:t>me frame consistent with prudent fiduciary standards but not later than the 450th day after the date the fund is created.</w:t>
            </w:r>
          </w:p>
          <w:p w14:paraId="58E08AC6" w14:textId="77777777" w:rsidR="00A00E9D" w:rsidRDefault="00A00E9D" w:rsidP="008C131E">
            <w:pPr>
              <w:pStyle w:val="Header"/>
              <w:jc w:val="both"/>
            </w:pPr>
          </w:p>
          <w:p w14:paraId="74D5EFBA" w14:textId="0B27E145" w:rsidR="00B82FF3" w:rsidRDefault="007E4773" w:rsidP="008C131E">
            <w:pPr>
              <w:pStyle w:val="Header"/>
              <w:jc w:val="both"/>
            </w:pPr>
            <w:r>
              <w:t>C.S.</w:t>
            </w:r>
            <w:r w:rsidR="00D0406A">
              <w:t>H.B. 2189</w:t>
            </w:r>
            <w:r w:rsidR="00A00E9D">
              <w:t xml:space="preserve"> authorizes a</w:t>
            </w:r>
            <w:r w:rsidR="00E40E0C">
              <w:t>n applicable</w:t>
            </w:r>
            <w:r w:rsidR="00A00E9D">
              <w:t xml:space="preserve"> state governm</w:t>
            </w:r>
            <w:r w:rsidR="00A975BD">
              <w:t>ental entity to cease divesting</w:t>
            </w:r>
            <w:r w:rsidR="00A00E9D">
              <w:t xml:space="preserve"> from one or more listed </w:t>
            </w:r>
            <w:r w:rsidR="00F4220C">
              <w:t xml:space="preserve">financial </w:t>
            </w:r>
            <w:r w:rsidR="00A00E9D">
              <w:t xml:space="preserve">companies if clear and convincing evidence shows that </w:t>
            </w:r>
            <w:r>
              <w:t>either of the following are true:</w:t>
            </w:r>
          </w:p>
          <w:p w14:paraId="484B2206" w14:textId="77777777" w:rsidR="00B82FF3" w:rsidRDefault="007E4773" w:rsidP="008C131E">
            <w:pPr>
              <w:pStyle w:val="Header"/>
              <w:numPr>
                <w:ilvl w:val="0"/>
                <w:numId w:val="2"/>
              </w:numPr>
              <w:jc w:val="both"/>
            </w:pPr>
            <w:r>
              <w:t xml:space="preserve">the entity has suffered or will suffer a loss in the hypothetical value of all assets under management by the entity as a result of having to </w:t>
            </w:r>
            <w:r w:rsidR="00337075">
              <w:t>divest from listed companies</w:t>
            </w:r>
            <w:r>
              <w:t>;</w:t>
            </w:r>
            <w:r w:rsidR="00337075">
              <w:t xml:space="preserve"> or</w:t>
            </w:r>
            <w:r>
              <w:t xml:space="preserve"> </w:t>
            </w:r>
          </w:p>
          <w:p w14:paraId="3938A97E" w14:textId="2ABFF15C" w:rsidR="00A00E9D" w:rsidRDefault="007E4773" w:rsidP="008C131E">
            <w:pPr>
              <w:pStyle w:val="Header"/>
              <w:numPr>
                <w:ilvl w:val="0"/>
                <w:numId w:val="2"/>
              </w:numPr>
              <w:jc w:val="both"/>
            </w:pPr>
            <w:r>
              <w:t xml:space="preserve">an </w:t>
            </w:r>
            <w:r>
              <w:t>individual portfolio that uses a benchmark-aware strategy would be subject to an aggregate expected deviation from its benchmark as a result of having to divest from listed companies</w:t>
            </w:r>
            <w:r w:rsidR="00332BEB">
              <w:t>.</w:t>
            </w:r>
          </w:p>
          <w:p w14:paraId="0FEB5DA0" w14:textId="519F4578" w:rsidR="00B82FF3" w:rsidRDefault="007E4773" w:rsidP="008C131E">
            <w:pPr>
              <w:pStyle w:val="Header"/>
              <w:jc w:val="both"/>
            </w:pPr>
            <w:r>
              <w:t>The bill sets out related provisions, including a limitation on the exte</w:t>
            </w:r>
            <w:r>
              <w:t>nt to which such an entity may cease divestment</w:t>
            </w:r>
            <w:r w:rsidR="006E4E1B">
              <w:t xml:space="preserve"> and a requirement that an applicable state governmental entity provide a report to the comptroller, </w:t>
            </w:r>
            <w:r w:rsidR="001D35E0">
              <w:t xml:space="preserve">the </w:t>
            </w:r>
            <w:r w:rsidR="006E4E1B">
              <w:t xml:space="preserve">presiding officer of each house of the legislature, and the attorney general relating to a decision to cease divestment or to remain invested in </w:t>
            </w:r>
            <w:r w:rsidR="00E77E5D">
              <w:t xml:space="preserve">a </w:t>
            </w:r>
            <w:r w:rsidR="006E4E1B">
              <w:t>listed company</w:t>
            </w:r>
            <w:r>
              <w:t>.</w:t>
            </w:r>
          </w:p>
          <w:p w14:paraId="4DCB1F43" w14:textId="77777777" w:rsidR="00A00E9D" w:rsidRDefault="00A00E9D" w:rsidP="008C131E">
            <w:pPr>
              <w:pStyle w:val="Header"/>
              <w:jc w:val="both"/>
            </w:pPr>
          </w:p>
          <w:p w14:paraId="22668B10" w14:textId="759BFB46" w:rsidR="00EB62CB" w:rsidRDefault="007E4773" w:rsidP="008C131E">
            <w:pPr>
              <w:pStyle w:val="Header"/>
              <w:tabs>
                <w:tab w:val="clear" w:pos="4320"/>
                <w:tab w:val="clear" w:pos="8640"/>
              </w:tabs>
              <w:jc w:val="both"/>
            </w:pPr>
            <w:r>
              <w:t>C.S.</w:t>
            </w:r>
            <w:r w:rsidR="00D0406A">
              <w:t>H.B. 2189</w:t>
            </w:r>
            <w:r w:rsidR="001C2A10">
              <w:t xml:space="preserve"> </w:t>
            </w:r>
            <w:r>
              <w:t>does the following:</w:t>
            </w:r>
          </w:p>
          <w:p w14:paraId="4789E7E3" w14:textId="55CE0BC7" w:rsidR="00EB62CB" w:rsidRDefault="007E4773" w:rsidP="008C131E">
            <w:pPr>
              <w:pStyle w:val="Header"/>
              <w:numPr>
                <w:ilvl w:val="0"/>
                <w:numId w:val="4"/>
              </w:numPr>
              <w:tabs>
                <w:tab w:val="clear" w:pos="4320"/>
                <w:tab w:val="clear" w:pos="8640"/>
              </w:tabs>
              <w:jc w:val="both"/>
            </w:pPr>
            <w:r>
              <w:t>sets out exemptions for an applicable state governmental e</w:t>
            </w:r>
            <w:r>
              <w:t xml:space="preserve">ntity and the comptroller from </w:t>
            </w:r>
            <w:r w:rsidR="00EE3FE5">
              <w:t>certain</w:t>
            </w:r>
            <w:r>
              <w:t xml:space="preserve"> conflicting statutory or common law obligations and the conditions under which the state is required to indemnify and hold harmless for actual damage</w:t>
            </w:r>
            <w:r w:rsidR="00337075">
              <w:t>s</w:t>
            </w:r>
            <w:r>
              <w:t xml:space="preserve"> certain people and entities</w:t>
            </w:r>
            <w:r w:rsidR="006E4E1B">
              <w:t>;</w:t>
            </w:r>
          </w:p>
          <w:p w14:paraId="061054EC" w14:textId="094669FD" w:rsidR="00EB62CB" w:rsidRDefault="007E4773" w:rsidP="008C131E">
            <w:pPr>
              <w:pStyle w:val="Header"/>
              <w:numPr>
                <w:ilvl w:val="0"/>
                <w:numId w:val="4"/>
              </w:numPr>
              <w:tabs>
                <w:tab w:val="clear" w:pos="4320"/>
                <w:tab w:val="clear" w:pos="8640"/>
              </w:tabs>
              <w:jc w:val="both"/>
            </w:pPr>
            <w:r>
              <w:t>sets out prohibitions against suit or</w:t>
            </w:r>
            <w:r>
              <w:t xml:space="preserve"> pursuit of a private cause of action for any claim or cause of action in connection with actions made or taken for purposes of </w:t>
            </w:r>
            <w:r w:rsidR="00EE3FE5">
              <w:t>the bill's provisions</w:t>
            </w:r>
            <w:r w:rsidR="00332BEB">
              <w:t xml:space="preserve"> </w:t>
            </w:r>
            <w:r>
              <w:t xml:space="preserve">prohibiting </w:t>
            </w:r>
            <w:r w:rsidR="00332BEB">
              <w:t xml:space="preserve">investment </w:t>
            </w:r>
            <w:r>
              <w:t>in companies that boycott energy companies;</w:t>
            </w:r>
            <w:r w:rsidR="00306328">
              <w:t xml:space="preserve"> </w:t>
            </w:r>
          </w:p>
          <w:p w14:paraId="76825ECD" w14:textId="346C3B7D" w:rsidR="00EB62CB" w:rsidRDefault="007E4773" w:rsidP="008C131E">
            <w:pPr>
              <w:pStyle w:val="Header"/>
              <w:numPr>
                <w:ilvl w:val="0"/>
                <w:numId w:val="4"/>
              </w:numPr>
              <w:tabs>
                <w:tab w:val="clear" w:pos="4320"/>
                <w:tab w:val="clear" w:pos="8640"/>
              </w:tabs>
              <w:jc w:val="both"/>
            </w:pPr>
            <w:r>
              <w:t>exempts an applicable</w:t>
            </w:r>
            <w:r w:rsidR="002F6CD2">
              <w:t xml:space="preserve"> state governmental entity </w:t>
            </w:r>
            <w:r>
              <w:t>from</w:t>
            </w:r>
            <w:r w:rsidR="002F6CD2">
              <w:t xml:space="preserve"> a requirement of th</w:t>
            </w:r>
            <w:r>
              <w:t>os</w:t>
            </w:r>
            <w:r w:rsidR="002F6CD2">
              <w:t>e bill</w:t>
            </w:r>
            <w:r w:rsidR="000907A2">
              <w:t xml:space="preserve"> provisions </w:t>
            </w:r>
            <w:r w:rsidR="002F6CD2">
              <w:t xml:space="preserve">if </w:t>
            </w:r>
            <w:r>
              <w:t xml:space="preserve">the </w:t>
            </w:r>
            <w:r w:rsidR="002F6CD2">
              <w:t>entity determines</w:t>
            </w:r>
            <w:r w:rsidR="00D0406A">
              <w:t xml:space="preserve"> </w:t>
            </w:r>
            <w:r w:rsidR="002F6CD2">
              <w:t>that the requirement would be inconsistent with its fiduciary responsibility with respect to the investment of entity assets or other duties imposed by law relating to the investment of entity assets</w:t>
            </w:r>
            <w:r>
              <w:t>, including the duty of care established under the Texas Constitution;</w:t>
            </w:r>
            <w:r w:rsidR="002F6CD2">
              <w:t xml:space="preserve"> </w:t>
            </w:r>
            <w:r>
              <w:t>and</w:t>
            </w:r>
            <w:r w:rsidR="001C2A10">
              <w:t xml:space="preserve"> </w:t>
            </w:r>
          </w:p>
          <w:p w14:paraId="047B3B0A" w14:textId="3C7A69F7" w:rsidR="001C2A10" w:rsidRDefault="007E4773" w:rsidP="008C131E">
            <w:pPr>
              <w:pStyle w:val="Header"/>
              <w:numPr>
                <w:ilvl w:val="0"/>
                <w:numId w:val="4"/>
              </w:numPr>
              <w:tabs>
                <w:tab w:val="clear" w:pos="4320"/>
                <w:tab w:val="clear" w:pos="8640"/>
              </w:tabs>
              <w:jc w:val="both"/>
            </w:pPr>
            <w:r>
              <w:t>authorizes the comptroller and a</w:t>
            </w:r>
            <w:r w:rsidR="00EB62CB">
              <w:t>n applicable</w:t>
            </w:r>
            <w:r>
              <w:t xml:space="preserve"> state governmental entity to rely on a </w:t>
            </w:r>
            <w:r w:rsidR="0003147A">
              <w:t xml:space="preserve">financial </w:t>
            </w:r>
            <w:r>
              <w:t xml:space="preserve">company's response to a notice or communication made </w:t>
            </w:r>
            <w:r w:rsidR="00332BEB">
              <w:t>in relation to the investment prohibition</w:t>
            </w:r>
            <w:r>
              <w:t xml:space="preserve"> without conducting any further investigation, research, or inquiry.</w:t>
            </w:r>
          </w:p>
          <w:p w14:paraId="06949F1E" w14:textId="77777777" w:rsidR="001C2A10" w:rsidRDefault="001C2A10" w:rsidP="008C131E">
            <w:pPr>
              <w:pStyle w:val="Header"/>
              <w:tabs>
                <w:tab w:val="clear" w:pos="4320"/>
                <w:tab w:val="clear" w:pos="8640"/>
              </w:tabs>
              <w:jc w:val="both"/>
            </w:pPr>
          </w:p>
          <w:p w14:paraId="680D6307" w14:textId="028F970D" w:rsidR="00EB62CB" w:rsidRDefault="007E4773" w:rsidP="008C131E">
            <w:pPr>
              <w:pStyle w:val="Header"/>
              <w:tabs>
                <w:tab w:val="clear" w:pos="4320"/>
                <w:tab w:val="clear" w:pos="8640"/>
              </w:tabs>
              <w:jc w:val="both"/>
            </w:pPr>
            <w:r>
              <w:t>C.S.</w:t>
            </w:r>
            <w:r w:rsidR="00D0406A">
              <w:t>H.B. 2189</w:t>
            </w:r>
            <w:r w:rsidR="00A00E9D">
              <w:t xml:space="preserve"> requires each </w:t>
            </w:r>
            <w:r>
              <w:t xml:space="preserve">applicable </w:t>
            </w:r>
            <w:r w:rsidR="00A00E9D">
              <w:t>state governmental entity, not la</w:t>
            </w:r>
            <w:r w:rsidR="00A975BD">
              <w:t>ter than January 5 of each year</w:t>
            </w:r>
            <w:r w:rsidR="00A00E9D">
              <w:t>, to file a publicly available report with the presiding officer of each house of the legislature and the attorney general that</w:t>
            </w:r>
            <w:r w:rsidR="008B0E50">
              <w:t xml:space="preserve"> does</w:t>
            </w:r>
            <w:r w:rsidR="00251346">
              <w:t xml:space="preserve"> </w:t>
            </w:r>
            <w:r w:rsidR="008B0E50">
              <w:t xml:space="preserve">the </w:t>
            </w:r>
            <w:r w:rsidR="00251346">
              <w:t>follow</w:t>
            </w:r>
            <w:r w:rsidR="008B0E50">
              <w:t>ing</w:t>
            </w:r>
            <w:r>
              <w:t>:</w:t>
            </w:r>
          </w:p>
          <w:p w14:paraId="7460D71E" w14:textId="3FF02200" w:rsidR="00EB62CB" w:rsidRDefault="007E4773" w:rsidP="008C131E">
            <w:pPr>
              <w:pStyle w:val="Header"/>
              <w:numPr>
                <w:ilvl w:val="0"/>
                <w:numId w:val="3"/>
              </w:numPr>
              <w:tabs>
                <w:tab w:val="clear" w:pos="4320"/>
                <w:tab w:val="clear" w:pos="8640"/>
              </w:tabs>
              <w:jc w:val="both"/>
            </w:pPr>
            <w:r>
              <w:t>identifies all securities</w:t>
            </w:r>
            <w:r w:rsidR="007229A9">
              <w:t xml:space="preserve"> of a listed </w:t>
            </w:r>
            <w:r w:rsidR="0003147A">
              <w:t xml:space="preserve">financial </w:t>
            </w:r>
            <w:r w:rsidR="007229A9">
              <w:t>company</w:t>
            </w:r>
            <w:r>
              <w:t xml:space="preserve"> sold, </w:t>
            </w:r>
            <w:r w:rsidR="007229A9">
              <w:t>redeemed, divested, or withdraw</w:t>
            </w:r>
            <w:r w:rsidR="00987113">
              <w:t>n;</w:t>
            </w:r>
            <w:r>
              <w:t xml:space="preserve"> </w:t>
            </w:r>
          </w:p>
          <w:p w14:paraId="0450E55D" w14:textId="1AA35532" w:rsidR="00EB62CB" w:rsidRDefault="007E4773" w:rsidP="008C131E">
            <w:pPr>
              <w:pStyle w:val="Header"/>
              <w:numPr>
                <w:ilvl w:val="0"/>
                <w:numId w:val="3"/>
              </w:numPr>
              <w:tabs>
                <w:tab w:val="clear" w:pos="4320"/>
                <w:tab w:val="clear" w:pos="8640"/>
              </w:tabs>
              <w:jc w:val="both"/>
            </w:pPr>
            <w:r>
              <w:t xml:space="preserve">identifies all prohibited investments of a listed </w:t>
            </w:r>
            <w:r w:rsidR="0003147A">
              <w:t xml:space="preserve">financial </w:t>
            </w:r>
            <w:r>
              <w:t>company</w:t>
            </w:r>
            <w:r w:rsidR="00987113">
              <w:t>;</w:t>
            </w:r>
            <w:r>
              <w:t xml:space="preserve"> and </w:t>
            </w:r>
          </w:p>
          <w:p w14:paraId="58398572" w14:textId="1EF0509A" w:rsidR="00EB62CB" w:rsidRDefault="007E4773" w:rsidP="008C131E">
            <w:pPr>
              <w:pStyle w:val="Header"/>
              <w:numPr>
                <w:ilvl w:val="0"/>
                <w:numId w:val="3"/>
              </w:numPr>
              <w:tabs>
                <w:tab w:val="clear" w:pos="4320"/>
                <w:tab w:val="clear" w:pos="8640"/>
              </w:tabs>
              <w:jc w:val="both"/>
            </w:pPr>
            <w:r>
              <w:t xml:space="preserve">summarizes any changes made under the bill's provisions </w:t>
            </w:r>
            <w:r w:rsidR="009B0F64">
              <w:t xml:space="preserve">relating </w:t>
            </w:r>
            <w:r>
              <w:t xml:space="preserve">to investments exempted from divestment. </w:t>
            </w:r>
          </w:p>
          <w:p w14:paraId="0EA8E305" w14:textId="7B0C758A" w:rsidR="008423E4" w:rsidRDefault="007E4773" w:rsidP="008C131E">
            <w:pPr>
              <w:pStyle w:val="Header"/>
              <w:tabs>
                <w:tab w:val="clear" w:pos="4320"/>
                <w:tab w:val="clear" w:pos="8640"/>
              </w:tabs>
              <w:jc w:val="both"/>
            </w:pPr>
            <w:r>
              <w:t>The bill authorizes the attorney general to bring any action necessary to enforce the bill</w:t>
            </w:r>
            <w:r w:rsidR="009B0F64">
              <w:t>'s provisions</w:t>
            </w:r>
            <w:r w:rsidR="00C15B25">
              <w:t xml:space="preserve"> prohibiti</w:t>
            </w:r>
            <w:r w:rsidR="00EB62CB">
              <w:t>ng</w:t>
            </w:r>
            <w:r w:rsidR="00C15B25">
              <w:t xml:space="preserve"> investment in </w:t>
            </w:r>
            <w:r w:rsidR="008B0E50">
              <w:t xml:space="preserve">financial </w:t>
            </w:r>
            <w:r w:rsidR="00C15B25">
              <w:t xml:space="preserve">companies that boycott </w:t>
            </w:r>
            <w:r w:rsidR="00EB62CB">
              <w:t>e</w:t>
            </w:r>
            <w:r w:rsidR="0082796F">
              <w:t>nergy companies</w:t>
            </w:r>
            <w:r>
              <w:t>.</w:t>
            </w:r>
            <w:r w:rsidR="005B52AE">
              <w:t xml:space="preserve"> </w:t>
            </w:r>
          </w:p>
          <w:p w14:paraId="0019F53C" w14:textId="77777777" w:rsidR="008423E4" w:rsidRPr="00835628" w:rsidRDefault="008423E4" w:rsidP="008C131E">
            <w:pPr>
              <w:rPr>
                <w:b/>
              </w:rPr>
            </w:pPr>
          </w:p>
        </w:tc>
      </w:tr>
      <w:tr w:rsidR="00A014AC" w14:paraId="4711C53A" w14:textId="77777777" w:rsidTr="00D65D86">
        <w:tc>
          <w:tcPr>
            <w:tcW w:w="9582" w:type="dxa"/>
          </w:tcPr>
          <w:p w14:paraId="354444CD" w14:textId="007E1CDE" w:rsidR="008423E4" w:rsidRPr="00A8133F" w:rsidRDefault="007E4773" w:rsidP="008C131E">
            <w:pPr>
              <w:rPr>
                <w:b/>
              </w:rPr>
            </w:pPr>
            <w:r w:rsidRPr="009C1E9A">
              <w:rPr>
                <w:b/>
                <w:u w:val="single"/>
              </w:rPr>
              <w:t>EFFECTIVE DATE</w:t>
            </w:r>
          </w:p>
          <w:p w14:paraId="17103262" w14:textId="77777777" w:rsidR="008423E4" w:rsidRDefault="008423E4" w:rsidP="008C131E"/>
          <w:p w14:paraId="63699F22" w14:textId="542940B9" w:rsidR="008423E4" w:rsidRPr="003624F2" w:rsidRDefault="007E4773" w:rsidP="008C131E">
            <w:pPr>
              <w:pStyle w:val="Header"/>
              <w:tabs>
                <w:tab w:val="clear" w:pos="4320"/>
                <w:tab w:val="clear" w:pos="8640"/>
              </w:tabs>
              <w:jc w:val="both"/>
            </w:pPr>
            <w:r>
              <w:t>September 1, 20</w:t>
            </w:r>
            <w:r w:rsidR="0004368E">
              <w:t>21</w:t>
            </w:r>
            <w:r>
              <w:t>.</w:t>
            </w:r>
          </w:p>
          <w:p w14:paraId="660ACAC5" w14:textId="77777777" w:rsidR="008423E4" w:rsidRPr="00233FDB" w:rsidRDefault="008423E4" w:rsidP="008C131E">
            <w:pPr>
              <w:rPr>
                <w:b/>
              </w:rPr>
            </w:pPr>
          </w:p>
        </w:tc>
      </w:tr>
      <w:tr w:rsidR="00A014AC" w14:paraId="430FA37B" w14:textId="77777777" w:rsidTr="00D65D86">
        <w:tc>
          <w:tcPr>
            <w:tcW w:w="9582" w:type="dxa"/>
          </w:tcPr>
          <w:p w14:paraId="75D4EC39" w14:textId="77777777" w:rsidR="00F76E07" w:rsidRDefault="007E4773" w:rsidP="008C131E">
            <w:pPr>
              <w:jc w:val="both"/>
              <w:rPr>
                <w:b/>
                <w:u w:val="single"/>
              </w:rPr>
            </w:pPr>
            <w:r>
              <w:rPr>
                <w:b/>
                <w:u w:val="single"/>
              </w:rPr>
              <w:t>COMPARISON OF ORIGINAL AND SUBSTITUTE</w:t>
            </w:r>
          </w:p>
          <w:p w14:paraId="0B6858BE" w14:textId="77777777" w:rsidR="005B52AE" w:rsidRDefault="005B52AE" w:rsidP="008C131E">
            <w:pPr>
              <w:jc w:val="both"/>
            </w:pPr>
          </w:p>
          <w:p w14:paraId="3B3477AA" w14:textId="5C5A2C96" w:rsidR="005B52AE" w:rsidRDefault="007E4773" w:rsidP="008C131E">
            <w:pPr>
              <w:jc w:val="both"/>
            </w:pPr>
            <w:r>
              <w:t xml:space="preserve">While C.S.H.B. 2189 may differ from the original in minor or nonsubstantive ways, the following summarizes the substantial </w:t>
            </w:r>
            <w:r>
              <w:t>differences between the introduced and committee substitute versions of the bill.</w:t>
            </w:r>
          </w:p>
          <w:p w14:paraId="0A6D5CC6" w14:textId="6EE1D8EC" w:rsidR="005B52AE" w:rsidRDefault="005B52AE" w:rsidP="008C131E">
            <w:pPr>
              <w:jc w:val="both"/>
            </w:pPr>
          </w:p>
          <w:p w14:paraId="0FB92078" w14:textId="34713ABD" w:rsidR="007A044D" w:rsidRDefault="007E4773" w:rsidP="008C131E">
            <w:pPr>
              <w:jc w:val="both"/>
            </w:pPr>
            <w:r>
              <w:t xml:space="preserve">The substitute revises </w:t>
            </w:r>
            <w:r w:rsidR="00076C5A">
              <w:t>the actions that</w:t>
            </w:r>
            <w:r w:rsidR="008B0E50">
              <w:t xml:space="preserve"> constitute</w:t>
            </w:r>
            <w:r>
              <w:t xml:space="preserve"> </w:t>
            </w:r>
            <w:r w:rsidR="001D35E0">
              <w:t>the meaning of "</w:t>
            </w:r>
            <w:r>
              <w:t>boycott energy compan</w:t>
            </w:r>
            <w:r w:rsidR="001D35E0">
              <w:t>y"</w:t>
            </w:r>
            <w:r>
              <w:t xml:space="preserve"> </w:t>
            </w:r>
            <w:r w:rsidR="00372CB8">
              <w:t>to</w:t>
            </w:r>
            <w:r w:rsidR="008B0E50">
              <w:t xml:space="preserve"> do</w:t>
            </w:r>
            <w:r>
              <w:t xml:space="preserve"> the following:</w:t>
            </w:r>
          </w:p>
          <w:p w14:paraId="7843B436" w14:textId="5A73EF27" w:rsidR="007A044D" w:rsidRDefault="007E4773" w:rsidP="008C131E">
            <w:pPr>
              <w:pStyle w:val="ListParagraph"/>
              <w:numPr>
                <w:ilvl w:val="0"/>
                <w:numId w:val="6"/>
              </w:numPr>
              <w:contextualSpacing w:val="0"/>
              <w:jc w:val="both"/>
            </w:pPr>
            <w:r>
              <w:t>remove the specification that an action in question was taken</w:t>
            </w:r>
            <w:r>
              <w:t xml:space="preserve"> without an ordinary business purpose and specif</w:t>
            </w:r>
            <w:r w:rsidR="001D35E0">
              <w:t>ies</w:t>
            </w:r>
            <w:r>
              <w:t xml:space="preserve"> instead that the action is taken solely or primarily to </w:t>
            </w:r>
            <w:r w:rsidRPr="007A044D">
              <w:t>penalize, inflict economic harm on, or l</w:t>
            </w:r>
            <w:r>
              <w:t>imit commercial relations with an energy</w:t>
            </w:r>
            <w:r w:rsidRPr="007A044D">
              <w:t xml:space="preserve"> company</w:t>
            </w:r>
            <w:r>
              <w:t xml:space="preserve">; and </w:t>
            </w:r>
          </w:p>
          <w:p w14:paraId="4E69FE2C" w14:textId="77AA9FE1" w:rsidR="007A044D" w:rsidRDefault="007E4773" w:rsidP="008C131E">
            <w:pPr>
              <w:pStyle w:val="ListParagraph"/>
              <w:numPr>
                <w:ilvl w:val="0"/>
                <w:numId w:val="6"/>
              </w:numPr>
              <w:contextualSpacing w:val="0"/>
              <w:jc w:val="both"/>
            </w:pPr>
            <w:r>
              <w:t xml:space="preserve">limit the energy companies against whom taking such an action constitutes </w:t>
            </w:r>
            <w:r w:rsidR="00FA4CA5">
              <w:t xml:space="preserve">a </w:t>
            </w:r>
            <w:r>
              <w:t>boycott</w:t>
            </w:r>
            <w:r w:rsidRPr="00076C5A">
              <w:t xml:space="preserve"> </w:t>
            </w:r>
            <w:r>
              <w:t>to those that</w:t>
            </w:r>
            <w:r w:rsidRPr="00076C5A">
              <w:t xml:space="preserve"> do not commit or pledge to meet environmental standards beyond applicable federal and state law.</w:t>
            </w:r>
          </w:p>
          <w:p w14:paraId="346160F3" w14:textId="77777777" w:rsidR="007A044D" w:rsidRDefault="007A044D" w:rsidP="008C131E">
            <w:pPr>
              <w:jc w:val="both"/>
            </w:pPr>
          </w:p>
          <w:p w14:paraId="3F01E856" w14:textId="77777777" w:rsidR="002E02EC" w:rsidRDefault="007E4773" w:rsidP="008C131E">
            <w:pPr>
              <w:jc w:val="both"/>
            </w:pPr>
            <w:r>
              <w:t>The substitute</w:t>
            </w:r>
            <w:r w:rsidR="00FA4CA5">
              <w:t xml:space="preserve"> </w:t>
            </w:r>
            <w:r>
              <w:t>includes provisions that do the following:</w:t>
            </w:r>
          </w:p>
          <w:p w14:paraId="69F80D52" w14:textId="77777777" w:rsidR="002E02EC" w:rsidRDefault="007E4773" w:rsidP="008C131E">
            <w:pPr>
              <w:pStyle w:val="ListParagraph"/>
              <w:numPr>
                <w:ilvl w:val="0"/>
                <w:numId w:val="7"/>
              </w:numPr>
              <w:contextualSpacing w:val="0"/>
              <w:jc w:val="both"/>
            </w:pPr>
            <w:r>
              <w:t>define</w:t>
            </w:r>
            <w:r w:rsidR="00FA4CA5">
              <w:t xml:space="preserve"> "financial company" </w:t>
            </w:r>
            <w:r w:rsidR="006D7520">
              <w:t>as a publicly traded financial services, banking, or investment company</w:t>
            </w:r>
            <w:r>
              <w:t>;</w:t>
            </w:r>
            <w:r w:rsidR="006D7520">
              <w:t xml:space="preserve"> </w:t>
            </w:r>
            <w:r w:rsidR="00FA4CA5">
              <w:t>and</w:t>
            </w:r>
            <w:r>
              <w:t xml:space="preserve"> </w:t>
            </w:r>
          </w:p>
          <w:p w14:paraId="694BD64F" w14:textId="2AD39A73" w:rsidR="005B52AE" w:rsidRDefault="007E4773" w:rsidP="008C131E">
            <w:pPr>
              <w:pStyle w:val="ListParagraph"/>
              <w:numPr>
                <w:ilvl w:val="0"/>
                <w:numId w:val="7"/>
              </w:numPr>
              <w:contextualSpacing w:val="0"/>
              <w:jc w:val="both"/>
            </w:pPr>
            <w:r>
              <w:t xml:space="preserve">limit </w:t>
            </w:r>
            <w:r w:rsidR="002E02EC">
              <w:t xml:space="preserve">to such a company </w:t>
            </w:r>
            <w:r w:rsidR="00ED4B94">
              <w:t xml:space="preserve">application of </w:t>
            </w:r>
            <w:r w:rsidR="00214950">
              <w:t xml:space="preserve">its provisions relating to </w:t>
            </w:r>
            <w:r w:rsidR="002E02EC">
              <w:t>being subject to the comptroller's list as boycotting an energy company</w:t>
            </w:r>
            <w:r w:rsidR="008B142A">
              <w:t xml:space="preserve">. </w:t>
            </w:r>
          </w:p>
          <w:p w14:paraId="4D9FDC2A" w14:textId="33B44638" w:rsidR="007A044D" w:rsidRDefault="007A044D" w:rsidP="008C131E">
            <w:pPr>
              <w:jc w:val="both"/>
            </w:pPr>
          </w:p>
          <w:p w14:paraId="25F69AA7" w14:textId="41E72F99" w:rsidR="007A044D" w:rsidRDefault="007E4773" w:rsidP="008C131E">
            <w:pPr>
              <w:jc w:val="both"/>
            </w:pPr>
            <w:r>
              <w:t>The substi</w:t>
            </w:r>
            <w:r>
              <w:t xml:space="preserve">tute </w:t>
            </w:r>
            <w:r w:rsidR="002E02EC">
              <w:t xml:space="preserve">includes an </w:t>
            </w:r>
            <w:r>
              <w:t>authoriz</w:t>
            </w:r>
            <w:r w:rsidR="002E02EC">
              <w:t>ation for</w:t>
            </w:r>
            <w:r>
              <w:t xml:space="preserve"> the comptroller </w:t>
            </w:r>
            <w:r w:rsidR="00AC6AB2">
              <w:t>to</w:t>
            </w:r>
            <w:r w:rsidR="004B43D2">
              <w:t xml:space="preserve"> </w:t>
            </w:r>
            <w:r>
              <w:t xml:space="preserve">request written verification </w:t>
            </w:r>
            <w:r w:rsidR="004B43D2">
              <w:t>from a</w:t>
            </w:r>
            <w:r w:rsidR="00AC6AB2">
              <w:t xml:space="preserve"> financial</w:t>
            </w:r>
            <w:r w:rsidR="004B43D2">
              <w:t xml:space="preserve"> company that </w:t>
            </w:r>
            <w:r w:rsidR="004B43D2" w:rsidRPr="004B43D2">
              <w:t>it does not boycott energy companies</w:t>
            </w:r>
            <w:r w:rsidR="00AC6AB2">
              <w:t xml:space="preserve"> and</w:t>
            </w:r>
            <w:r w:rsidR="004B43D2">
              <w:t xml:space="preserve"> to rely on </w:t>
            </w:r>
            <w:r w:rsidR="00AC6AB2">
              <w:t xml:space="preserve">the </w:t>
            </w:r>
            <w:r w:rsidR="004B43D2">
              <w:t xml:space="preserve">company's written response </w:t>
            </w:r>
            <w:r w:rsidR="00AC6AB2">
              <w:t>without further investigation.</w:t>
            </w:r>
            <w:r w:rsidR="004B43D2">
              <w:t xml:space="preserve"> </w:t>
            </w:r>
            <w:r w:rsidR="00AC6AB2">
              <w:t>The substitute includes a provision</w:t>
            </w:r>
            <w:r w:rsidR="004B43D2">
              <w:t xml:space="preserve"> establish</w:t>
            </w:r>
            <w:r w:rsidR="00AC6AB2">
              <w:t>ing</w:t>
            </w:r>
            <w:r w:rsidR="004B43D2">
              <w:t xml:space="preserve"> that a company that fails to respond</w:t>
            </w:r>
            <w:r w:rsidR="00AC6AB2">
              <w:t xml:space="preserve"> to such a request</w:t>
            </w:r>
            <w:r w:rsidR="004B43D2">
              <w:t xml:space="preserve"> </w:t>
            </w:r>
            <w:r w:rsidR="000F66AA">
              <w:t>within the prescribed time</w:t>
            </w:r>
            <w:r w:rsidR="007A59D0">
              <w:t xml:space="preserve"> </w:t>
            </w:r>
            <w:r w:rsidR="000F66AA">
              <w:t xml:space="preserve">frame </w:t>
            </w:r>
            <w:r w:rsidR="004B43D2">
              <w:t xml:space="preserve">is presumed to be boycotting energy companies.  </w:t>
            </w:r>
          </w:p>
          <w:p w14:paraId="097F7108" w14:textId="157B5981" w:rsidR="007A044D" w:rsidRDefault="007A044D" w:rsidP="008C131E">
            <w:pPr>
              <w:jc w:val="both"/>
            </w:pPr>
          </w:p>
          <w:p w14:paraId="13B93414" w14:textId="1C6F3DA2" w:rsidR="005B52AE" w:rsidRPr="005B52AE" w:rsidRDefault="007E4773" w:rsidP="008C131E">
            <w:pPr>
              <w:jc w:val="both"/>
            </w:pPr>
            <w:r>
              <w:t xml:space="preserve">The </w:t>
            </w:r>
            <w:r w:rsidR="004B43D2">
              <w:t>substitute</w:t>
            </w:r>
            <w:r>
              <w:t xml:space="preserve"> includes a </w:t>
            </w:r>
            <w:r w:rsidR="004B43D2">
              <w:t xml:space="preserve">procedural </w:t>
            </w:r>
            <w:r>
              <w:t>provision establishing that the bill's provisions</w:t>
            </w:r>
            <w:r w:rsidR="00AC6AB2">
              <w:t xml:space="preserve"> prohibiting the investing in financial companies that boycott certain energy companies</w:t>
            </w:r>
            <w:r>
              <w:t xml:space="preserve"> apply only to </w:t>
            </w:r>
            <w:r w:rsidRPr="007A044D">
              <w:t xml:space="preserve">a contract entered into on or after the </w:t>
            </w:r>
            <w:r>
              <w:t xml:space="preserve">bill's </w:t>
            </w:r>
            <w:r w:rsidRPr="007A044D">
              <w:t>effective date</w:t>
            </w:r>
            <w:r>
              <w:t>.</w:t>
            </w:r>
          </w:p>
        </w:tc>
      </w:tr>
      <w:tr w:rsidR="00A014AC" w14:paraId="07336DA2" w14:textId="77777777" w:rsidTr="00D65D86">
        <w:tc>
          <w:tcPr>
            <w:tcW w:w="9582" w:type="dxa"/>
          </w:tcPr>
          <w:p w14:paraId="48D0A414" w14:textId="77777777" w:rsidR="00F76E07" w:rsidRPr="009C1E9A" w:rsidRDefault="00F76E07" w:rsidP="008C131E">
            <w:pPr>
              <w:rPr>
                <w:b/>
                <w:u w:val="single"/>
              </w:rPr>
            </w:pPr>
          </w:p>
        </w:tc>
      </w:tr>
    </w:tbl>
    <w:p w14:paraId="49CFE3DB" w14:textId="52DDB1DD" w:rsidR="004108C3" w:rsidRPr="002D6192" w:rsidRDefault="004108C3" w:rsidP="008C131E">
      <w:pPr>
        <w:tabs>
          <w:tab w:val="left" w:pos="3690"/>
        </w:tabs>
      </w:pPr>
    </w:p>
    <w:sectPr w:rsidR="004108C3" w:rsidRPr="002D6192"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005CC" w14:textId="77777777" w:rsidR="00000000" w:rsidRDefault="007E4773">
      <w:r>
        <w:separator/>
      </w:r>
    </w:p>
  </w:endnote>
  <w:endnote w:type="continuationSeparator" w:id="0">
    <w:p w14:paraId="41FA328A" w14:textId="77777777" w:rsidR="00000000" w:rsidRDefault="007E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0F5A" w14:textId="77777777" w:rsidR="00D36221" w:rsidRDefault="00D36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014AC" w14:paraId="0E9AECFE" w14:textId="77777777" w:rsidTr="009C1E9A">
      <w:trPr>
        <w:cantSplit/>
      </w:trPr>
      <w:tc>
        <w:tcPr>
          <w:tcW w:w="0" w:type="pct"/>
        </w:tcPr>
        <w:p w14:paraId="15CD788B" w14:textId="77777777" w:rsidR="00137D90" w:rsidRDefault="00137D90" w:rsidP="009C1E9A">
          <w:pPr>
            <w:pStyle w:val="Footer"/>
            <w:tabs>
              <w:tab w:val="clear" w:pos="8640"/>
              <w:tab w:val="right" w:pos="9360"/>
            </w:tabs>
          </w:pPr>
        </w:p>
      </w:tc>
      <w:tc>
        <w:tcPr>
          <w:tcW w:w="2395" w:type="pct"/>
        </w:tcPr>
        <w:p w14:paraId="069619AF" w14:textId="77777777" w:rsidR="00137D90" w:rsidRDefault="00137D90" w:rsidP="009C1E9A">
          <w:pPr>
            <w:pStyle w:val="Footer"/>
            <w:tabs>
              <w:tab w:val="clear" w:pos="8640"/>
              <w:tab w:val="right" w:pos="9360"/>
            </w:tabs>
          </w:pPr>
        </w:p>
        <w:p w14:paraId="4763EFFE" w14:textId="77777777" w:rsidR="001A4310" w:rsidRDefault="001A4310" w:rsidP="009C1E9A">
          <w:pPr>
            <w:pStyle w:val="Footer"/>
            <w:tabs>
              <w:tab w:val="clear" w:pos="8640"/>
              <w:tab w:val="right" w:pos="9360"/>
            </w:tabs>
          </w:pPr>
        </w:p>
        <w:p w14:paraId="5FFABD8F" w14:textId="77777777" w:rsidR="00137D90" w:rsidRDefault="00137D90" w:rsidP="009C1E9A">
          <w:pPr>
            <w:pStyle w:val="Footer"/>
            <w:tabs>
              <w:tab w:val="clear" w:pos="8640"/>
              <w:tab w:val="right" w:pos="9360"/>
            </w:tabs>
          </w:pPr>
        </w:p>
      </w:tc>
      <w:tc>
        <w:tcPr>
          <w:tcW w:w="2453" w:type="pct"/>
        </w:tcPr>
        <w:p w14:paraId="3147126F" w14:textId="77777777" w:rsidR="00137D90" w:rsidRDefault="00137D90" w:rsidP="009C1E9A">
          <w:pPr>
            <w:pStyle w:val="Footer"/>
            <w:tabs>
              <w:tab w:val="clear" w:pos="8640"/>
              <w:tab w:val="right" w:pos="9360"/>
            </w:tabs>
            <w:jc w:val="right"/>
          </w:pPr>
        </w:p>
      </w:tc>
    </w:tr>
    <w:tr w:rsidR="00A014AC" w14:paraId="03849102" w14:textId="77777777" w:rsidTr="009C1E9A">
      <w:trPr>
        <w:cantSplit/>
      </w:trPr>
      <w:tc>
        <w:tcPr>
          <w:tcW w:w="0" w:type="pct"/>
        </w:tcPr>
        <w:p w14:paraId="68827662" w14:textId="77777777" w:rsidR="00EC379B" w:rsidRDefault="00EC379B" w:rsidP="009C1E9A">
          <w:pPr>
            <w:pStyle w:val="Footer"/>
            <w:tabs>
              <w:tab w:val="clear" w:pos="8640"/>
              <w:tab w:val="right" w:pos="9360"/>
            </w:tabs>
          </w:pPr>
        </w:p>
      </w:tc>
      <w:tc>
        <w:tcPr>
          <w:tcW w:w="2395" w:type="pct"/>
        </w:tcPr>
        <w:p w14:paraId="70046A96" w14:textId="675A425A" w:rsidR="00EC379B" w:rsidRPr="009C1E9A" w:rsidRDefault="007E4773" w:rsidP="009C1E9A">
          <w:pPr>
            <w:pStyle w:val="Footer"/>
            <w:tabs>
              <w:tab w:val="clear" w:pos="8640"/>
              <w:tab w:val="right" w:pos="9360"/>
            </w:tabs>
            <w:rPr>
              <w:rFonts w:ascii="Shruti" w:hAnsi="Shruti"/>
              <w:sz w:val="22"/>
            </w:rPr>
          </w:pPr>
          <w:r>
            <w:rPr>
              <w:rFonts w:ascii="Shruti" w:hAnsi="Shruti"/>
              <w:sz w:val="22"/>
            </w:rPr>
            <w:t>87R 18702</w:t>
          </w:r>
        </w:p>
      </w:tc>
      <w:tc>
        <w:tcPr>
          <w:tcW w:w="2453" w:type="pct"/>
        </w:tcPr>
        <w:p w14:paraId="7479E64A" w14:textId="45362363" w:rsidR="00EC379B" w:rsidRDefault="007E4773" w:rsidP="009C1E9A">
          <w:pPr>
            <w:pStyle w:val="Footer"/>
            <w:tabs>
              <w:tab w:val="clear" w:pos="8640"/>
              <w:tab w:val="right" w:pos="9360"/>
            </w:tabs>
            <w:jc w:val="right"/>
          </w:pPr>
          <w:r>
            <w:fldChar w:fldCharType="begin"/>
          </w:r>
          <w:r>
            <w:instrText xml:space="preserve"> DOCPROPERTY  OTID  \* MERGEFORMAT </w:instrText>
          </w:r>
          <w:r>
            <w:fldChar w:fldCharType="separate"/>
          </w:r>
          <w:r w:rsidR="00CD09A8">
            <w:t>21.98.820</w:t>
          </w:r>
          <w:r>
            <w:fldChar w:fldCharType="end"/>
          </w:r>
        </w:p>
      </w:tc>
    </w:tr>
    <w:tr w:rsidR="00A014AC" w14:paraId="0EEBBED1" w14:textId="77777777" w:rsidTr="009C1E9A">
      <w:trPr>
        <w:cantSplit/>
      </w:trPr>
      <w:tc>
        <w:tcPr>
          <w:tcW w:w="0" w:type="pct"/>
        </w:tcPr>
        <w:p w14:paraId="0FBBB167" w14:textId="77777777" w:rsidR="00EC379B" w:rsidRDefault="00EC379B" w:rsidP="009C1E9A">
          <w:pPr>
            <w:pStyle w:val="Footer"/>
            <w:tabs>
              <w:tab w:val="clear" w:pos="4320"/>
              <w:tab w:val="clear" w:pos="8640"/>
              <w:tab w:val="left" w:pos="2865"/>
            </w:tabs>
          </w:pPr>
        </w:p>
      </w:tc>
      <w:tc>
        <w:tcPr>
          <w:tcW w:w="2395" w:type="pct"/>
        </w:tcPr>
        <w:p w14:paraId="2E916E52" w14:textId="436B952D" w:rsidR="00EC379B" w:rsidRPr="009C1E9A" w:rsidRDefault="007E4773" w:rsidP="009C1E9A">
          <w:pPr>
            <w:pStyle w:val="Footer"/>
            <w:tabs>
              <w:tab w:val="clear" w:pos="4320"/>
              <w:tab w:val="clear" w:pos="8640"/>
              <w:tab w:val="left" w:pos="2865"/>
            </w:tabs>
            <w:rPr>
              <w:rFonts w:ascii="Shruti" w:hAnsi="Shruti"/>
              <w:sz w:val="22"/>
            </w:rPr>
          </w:pPr>
          <w:r>
            <w:rPr>
              <w:rFonts w:ascii="Shruti" w:hAnsi="Shruti"/>
              <w:sz w:val="22"/>
            </w:rPr>
            <w:t>Substitute Document Number: 87R 17676</w:t>
          </w:r>
        </w:p>
      </w:tc>
      <w:tc>
        <w:tcPr>
          <w:tcW w:w="2453" w:type="pct"/>
        </w:tcPr>
        <w:p w14:paraId="1C421895" w14:textId="77777777" w:rsidR="00EC379B" w:rsidRDefault="00EC379B" w:rsidP="006D504F">
          <w:pPr>
            <w:pStyle w:val="Footer"/>
            <w:rPr>
              <w:rStyle w:val="PageNumber"/>
            </w:rPr>
          </w:pPr>
        </w:p>
        <w:p w14:paraId="2EB5C8F9" w14:textId="77777777" w:rsidR="00EC379B" w:rsidRDefault="00EC379B" w:rsidP="009C1E9A">
          <w:pPr>
            <w:pStyle w:val="Footer"/>
            <w:tabs>
              <w:tab w:val="clear" w:pos="8640"/>
              <w:tab w:val="right" w:pos="9360"/>
            </w:tabs>
            <w:jc w:val="right"/>
          </w:pPr>
        </w:p>
      </w:tc>
    </w:tr>
    <w:tr w:rsidR="00A014AC" w14:paraId="6836425D" w14:textId="77777777" w:rsidTr="009C1E9A">
      <w:trPr>
        <w:cantSplit/>
        <w:trHeight w:val="323"/>
      </w:trPr>
      <w:tc>
        <w:tcPr>
          <w:tcW w:w="0" w:type="pct"/>
          <w:gridSpan w:val="3"/>
        </w:tcPr>
        <w:p w14:paraId="050420E9" w14:textId="20D15FB9" w:rsidR="00EC379B" w:rsidRDefault="007E477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C131E">
            <w:rPr>
              <w:rStyle w:val="PageNumber"/>
              <w:noProof/>
            </w:rPr>
            <w:t>1</w:t>
          </w:r>
          <w:r>
            <w:rPr>
              <w:rStyle w:val="PageNumber"/>
            </w:rPr>
            <w:fldChar w:fldCharType="end"/>
          </w:r>
        </w:p>
        <w:p w14:paraId="0A6F3AFA" w14:textId="77777777" w:rsidR="00EC379B" w:rsidRDefault="00EC379B" w:rsidP="009C1E9A">
          <w:pPr>
            <w:pStyle w:val="Footer"/>
            <w:tabs>
              <w:tab w:val="clear" w:pos="8640"/>
              <w:tab w:val="right" w:pos="9360"/>
            </w:tabs>
            <w:jc w:val="center"/>
          </w:pPr>
        </w:p>
      </w:tc>
    </w:tr>
  </w:tbl>
  <w:p w14:paraId="049CD6C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8C4E" w14:textId="77777777" w:rsidR="00D36221" w:rsidRDefault="00D36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9D0EE" w14:textId="77777777" w:rsidR="00000000" w:rsidRDefault="007E4773">
      <w:r>
        <w:separator/>
      </w:r>
    </w:p>
  </w:footnote>
  <w:footnote w:type="continuationSeparator" w:id="0">
    <w:p w14:paraId="62891BB8" w14:textId="77777777" w:rsidR="00000000" w:rsidRDefault="007E4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E97D7" w14:textId="77777777" w:rsidR="00D36221" w:rsidRDefault="00D3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4629A" w14:textId="77777777" w:rsidR="00D36221" w:rsidRDefault="00D36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4BB5" w14:textId="77777777" w:rsidR="00D36221" w:rsidRDefault="00D36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733"/>
    <w:multiLevelType w:val="hybridMultilevel"/>
    <w:tmpl w:val="80884BE2"/>
    <w:lvl w:ilvl="0" w:tplc="3CB0AC12">
      <w:start w:val="1"/>
      <w:numFmt w:val="bullet"/>
      <w:lvlText w:val=""/>
      <w:lvlJc w:val="left"/>
      <w:pPr>
        <w:tabs>
          <w:tab w:val="num" w:pos="720"/>
        </w:tabs>
        <w:ind w:left="720" w:hanging="360"/>
      </w:pPr>
      <w:rPr>
        <w:rFonts w:ascii="Symbol" w:hAnsi="Symbol" w:hint="default"/>
      </w:rPr>
    </w:lvl>
    <w:lvl w:ilvl="1" w:tplc="B9BC1748" w:tentative="1">
      <w:start w:val="1"/>
      <w:numFmt w:val="bullet"/>
      <w:lvlText w:val="o"/>
      <w:lvlJc w:val="left"/>
      <w:pPr>
        <w:ind w:left="1440" w:hanging="360"/>
      </w:pPr>
      <w:rPr>
        <w:rFonts w:ascii="Courier New" w:hAnsi="Courier New" w:cs="Courier New" w:hint="default"/>
      </w:rPr>
    </w:lvl>
    <w:lvl w:ilvl="2" w:tplc="73D04E7E" w:tentative="1">
      <w:start w:val="1"/>
      <w:numFmt w:val="bullet"/>
      <w:lvlText w:val=""/>
      <w:lvlJc w:val="left"/>
      <w:pPr>
        <w:ind w:left="2160" w:hanging="360"/>
      </w:pPr>
      <w:rPr>
        <w:rFonts w:ascii="Wingdings" w:hAnsi="Wingdings" w:hint="default"/>
      </w:rPr>
    </w:lvl>
    <w:lvl w:ilvl="3" w:tplc="ADD2CCD0" w:tentative="1">
      <w:start w:val="1"/>
      <w:numFmt w:val="bullet"/>
      <w:lvlText w:val=""/>
      <w:lvlJc w:val="left"/>
      <w:pPr>
        <w:ind w:left="2880" w:hanging="360"/>
      </w:pPr>
      <w:rPr>
        <w:rFonts w:ascii="Symbol" w:hAnsi="Symbol" w:hint="default"/>
      </w:rPr>
    </w:lvl>
    <w:lvl w:ilvl="4" w:tplc="E966AA02" w:tentative="1">
      <w:start w:val="1"/>
      <w:numFmt w:val="bullet"/>
      <w:lvlText w:val="o"/>
      <w:lvlJc w:val="left"/>
      <w:pPr>
        <w:ind w:left="3600" w:hanging="360"/>
      </w:pPr>
      <w:rPr>
        <w:rFonts w:ascii="Courier New" w:hAnsi="Courier New" w:cs="Courier New" w:hint="default"/>
      </w:rPr>
    </w:lvl>
    <w:lvl w:ilvl="5" w:tplc="B8005E3A" w:tentative="1">
      <w:start w:val="1"/>
      <w:numFmt w:val="bullet"/>
      <w:lvlText w:val=""/>
      <w:lvlJc w:val="left"/>
      <w:pPr>
        <w:ind w:left="4320" w:hanging="360"/>
      </w:pPr>
      <w:rPr>
        <w:rFonts w:ascii="Wingdings" w:hAnsi="Wingdings" w:hint="default"/>
      </w:rPr>
    </w:lvl>
    <w:lvl w:ilvl="6" w:tplc="68424C02" w:tentative="1">
      <w:start w:val="1"/>
      <w:numFmt w:val="bullet"/>
      <w:lvlText w:val=""/>
      <w:lvlJc w:val="left"/>
      <w:pPr>
        <w:ind w:left="5040" w:hanging="360"/>
      </w:pPr>
      <w:rPr>
        <w:rFonts w:ascii="Symbol" w:hAnsi="Symbol" w:hint="default"/>
      </w:rPr>
    </w:lvl>
    <w:lvl w:ilvl="7" w:tplc="4CE4578A" w:tentative="1">
      <w:start w:val="1"/>
      <w:numFmt w:val="bullet"/>
      <w:lvlText w:val="o"/>
      <w:lvlJc w:val="left"/>
      <w:pPr>
        <w:ind w:left="5760" w:hanging="360"/>
      </w:pPr>
      <w:rPr>
        <w:rFonts w:ascii="Courier New" w:hAnsi="Courier New" w:cs="Courier New" w:hint="default"/>
      </w:rPr>
    </w:lvl>
    <w:lvl w:ilvl="8" w:tplc="ADBA6948" w:tentative="1">
      <w:start w:val="1"/>
      <w:numFmt w:val="bullet"/>
      <w:lvlText w:val=""/>
      <w:lvlJc w:val="left"/>
      <w:pPr>
        <w:ind w:left="6480" w:hanging="360"/>
      </w:pPr>
      <w:rPr>
        <w:rFonts w:ascii="Wingdings" w:hAnsi="Wingdings" w:hint="default"/>
      </w:rPr>
    </w:lvl>
  </w:abstractNum>
  <w:abstractNum w:abstractNumId="1" w15:restartNumberingAfterBreak="0">
    <w:nsid w:val="2B2F5B08"/>
    <w:multiLevelType w:val="hybridMultilevel"/>
    <w:tmpl w:val="217AC092"/>
    <w:lvl w:ilvl="0" w:tplc="7D4C3BC4">
      <w:start w:val="1"/>
      <w:numFmt w:val="bullet"/>
      <w:lvlText w:val=""/>
      <w:lvlJc w:val="left"/>
      <w:pPr>
        <w:tabs>
          <w:tab w:val="num" w:pos="720"/>
        </w:tabs>
        <w:ind w:left="720" w:hanging="360"/>
      </w:pPr>
      <w:rPr>
        <w:rFonts w:ascii="Symbol" w:hAnsi="Symbol" w:hint="default"/>
      </w:rPr>
    </w:lvl>
    <w:lvl w:ilvl="1" w:tplc="49D00B86" w:tentative="1">
      <w:start w:val="1"/>
      <w:numFmt w:val="bullet"/>
      <w:lvlText w:val="o"/>
      <w:lvlJc w:val="left"/>
      <w:pPr>
        <w:ind w:left="1440" w:hanging="360"/>
      </w:pPr>
      <w:rPr>
        <w:rFonts w:ascii="Courier New" w:hAnsi="Courier New" w:cs="Courier New" w:hint="default"/>
      </w:rPr>
    </w:lvl>
    <w:lvl w:ilvl="2" w:tplc="51B40146" w:tentative="1">
      <w:start w:val="1"/>
      <w:numFmt w:val="bullet"/>
      <w:lvlText w:val=""/>
      <w:lvlJc w:val="left"/>
      <w:pPr>
        <w:ind w:left="2160" w:hanging="360"/>
      </w:pPr>
      <w:rPr>
        <w:rFonts w:ascii="Wingdings" w:hAnsi="Wingdings" w:hint="default"/>
      </w:rPr>
    </w:lvl>
    <w:lvl w:ilvl="3" w:tplc="320417DC" w:tentative="1">
      <w:start w:val="1"/>
      <w:numFmt w:val="bullet"/>
      <w:lvlText w:val=""/>
      <w:lvlJc w:val="left"/>
      <w:pPr>
        <w:ind w:left="2880" w:hanging="360"/>
      </w:pPr>
      <w:rPr>
        <w:rFonts w:ascii="Symbol" w:hAnsi="Symbol" w:hint="default"/>
      </w:rPr>
    </w:lvl>
    <w:lvl w:ilvl="4" w:tplc="A132AC40" w:tentative="1">
      <w:start w:val="1"/>
      <w:numFmt w:val="bullet"/>
      <w:lvlText w:val="o"/>
      <w:lvlJc w:val="left"/>
      <w:pPr>
        <w:ind w:left="3600" w:hanging="360"/>
      </w:pPr>
      <w:rPr>
        <w:rFonts w:ascii="Courier New" w:hAnsi="Courier New" w:cs="Courier New" w:hint="default"/>
      </w:rPr>
    </w:lvl>
    <w:lvl w:ilvl="5" w:tplc="7D7461E4" w:tentative="1">
      <w:start w:val="1"/>
      <w:numFmt w:val="bullet"/>
      <w:lvlText w:val=""/>
      <w:lvlJc w:val="left"/>
      <w:pPr>
        <w:ind w:left="4320" w:hanging="360"/>
      </w:pPr>
      <w:rPr>
        <w:rFonts w:ascii="Wingdings" w:hAnsi="Wingdings" w:hint="default"/>
      </w:rPr>
    </w:lvl>
    <w:lvl w:ilvl="6" w:tplc="CFDCBD32" w:tentative="1">
      <w:start w:val="1"/>
      <w:numFmt w:val="bullet"/>
      <w:lvlText w:val=""/>
      <w:lvlJc w:val="left"/>
      <w:pPr>
        <w:ind w:left="5040" w:hanging="360"/>
      </w:pPr>
      <w:rPr>
        <w:rFonts w:ascii="Symbol" w:hAnsi="Symbol" w:hint="default"/>
      </w:rPr>
    </w:lvl>
    <w:lvl w:ilvl="7" w:tplc="C32A9406" w:tentative="1">
      <w:start w:val="1"/>
      <w:numFmt w:val="bullet"/>
      <w:lvlText w:val="o"/>
      <w:lvlJc w:val="left"/>
      <w:pPr>
        <w:ind w:left="5760" w:hanging="360"/>
      </w:pPr>
      <w:rPr>
        <w:rFonts w:ascii="Courier New" w:hAnsi="Courier New" w:cs="Courier New" w:hint="default"/>
      </w:rPr>
    </w:lvl>
    <w:lvl w:ilvl="8" w:tplc="527CEAE0" w:tentative="1">
      <w:start w:val="1"/>
      <w:numFmt w:val="bullet"/>
      <w:lvlText w:val=""/>
      <w:lvlJc w:val="left"/>
      <w:pPr>
        <w:ind w:left="6480" w:hanging="360"/>
      </w:pPr>
      <w:rPr>
        <w:rFonts w:ascii="Wingdings" w:hAnsi="Wingdings" w:hint="default"/>
      </w:rPr>
    </w:lvl>
  </w:abstractNum>
  <w:abstractNum w:abstractNumId="2" w15:restartNumberingAfterBreak="0">
    <w:nsid w:val="32081859"/>
    <w:multiLevelType w:val="hybridMultilevel"/>
    <w:tmpl w:val="619E563E"/>
    <w:lvl w:ilvl="0" w:tplc="4A7A855A">
      <w:start w:val="1"/>
      <w:numFmt w:val="bullet"/>
      <w:lvlText w:val=""/>
      <w:lvlJc w:val="left"/>
      <w:pPr>
        <w:tabs>
          <w:tab w:val="num" w:pos="720"/>
        </w:tabs>
        <w:ind w:left="720" w:hanging="360"/>
      </w:pPr>
      <w:rPr>
        <w:rFonts w:ascii="Symbol" w:hAnsi="Symbol" w:hint="default"/>
      </w:rPr>
    </w:lvl>
    <w:lvl w:ilvl="1" w:tplc="657E3324" w:tentative="1">
      <w:start w:val="1"/>
      <w:numFmt w:val="bullet"/>
      <w:lvlText w:val="o"/>
      <w:lvlJc w:val="left"/>
      <w:pPr>
        <w:ind w:left="1440" w:hanging="360"/>
      </w:pPr>
      <w:rPr>
        <w:rFonts w:ascii="Courier New" w:hAnsi="Courier New" w:cs="Courier New" w:hint="default"/>
      </w:rPr>
    </w:lvl>
    <w:lvl w:ilvl="2" w:tplc="70E0DF5C" w:tentative="1">
      <w:start w:val="1"/>
      <w:numFmt w:val="bullet"/>
      <w:lvlText w:val=""/>
      <w:lvlJc w:val="left"/>
      <w:pPr>
        <w:ind w:left="2160" w:hanging="360"/>
      </w:pPr>
      <w:rPr>
        <w:rFonts w:ascii="Wingdings" w:hAnsi="Wingdings" w:hint="default"/>
      </w:rPr>
    </w:lvl>
    <w:lvl w:ilvl="3" w:tplc="71C4DFB8" w:tentative="1">
      <w:start w:val="1"/>
      <w:numFmt w:val="bullet"/>
      <w:lvlText w:val=""/>
      <w:lvlJc w:val="left"/>
      <w:pPr>
        <w:ind w:left="2880" w:hanging="360"/>
      </w:pPr>
      <w:rPr>
        <w:rFonts w:ascii="Symbol" w:hAnsi="Symbol" w:hint="default"/>
      </w:rPr>
    </w:lvl>
    <w:lvl w:ilvl="4" w:tplc="4B36C278" w:tentative="1">
      <w:start w:val="1"/>
      <w:numFmt w:val="bullet"/>
      <w:lvlText w:val="o"/>
      <w:lvlJc w:val="left"/>
      <w:pPr>
        <w:ind w:left="3600" w:hanging="360"/>
      </w:pPr>
      <w:rPr>
        <w:rFonts w:ascii="Courier New" w:hAnsi="Courier New" w:cs="Courier New" w:hint="default"/>
      </w:rPr>
    </w:lvl>
    <w:lvl w:ilvl="5" w:tplc="23CCAA6C" w:tentative="1">
      <w:start w:val="1"/>
      <w:numFmt w:val="bullet"/>
      <w:lvlText w:val=""/>
      <w:lvlJc w:val="left"/>
      <w:pPr>
        <w:ind w:left="4320" w:hanging="360"/>
      </w:pPr>
      <w:rPr>
        <w:rFonts w:ascii="Wingdings" w:hAnsi="Wingdings" w:hint="default"/>
      </w:rPr>
    </w:lvl>
    <w:lvl w:ilvl="6" w:tplc="771A83AE" w:tentative="1">
      <w:start w:val="1"/>
      <w:numFmt w:val="bullet"/>
      <w:lvlText w:val=""/>
      <w:lvlJc w:val="left"/>
      <w:pPr>
        <w:ind w:left="5040" w:hanging="360"/>
      </w:pPr>
      <w:rPr>
        <w:rFonts w:ascii="Symbol" w:hAnsi="Symbol" w:hint="default"/>
      </w:rPr>
    </w:lvl>
    <w:lvl w:ilvl="7" w:tplc="31A86672" w:tentative="1">
      <w:start w:val="1"/>
      <w:numFmt w:val="bullet"/>
      <w:lvlText w:val="o"/>
      <w:lvlJc w:val="left"/>
      <w:pPr>
        <w:ind w:left="5760" w:hanging="360"/>
      </w:pPr>
      <w:rPr>
        <w:rFonts w:ascii="Courier New" w:hAnsi="Courier New" w:cs="Courier New" w:hint="default"/>
      </w:rPr>
    </w:lvl>
    <w:lvl w:ilvl="8" w:tplc="A29A9EBA" w:tentative="1">
      <w:start w:val="1"/>
      <w:numFmt w:val="bullet"/>
      <w:lvlText w:val=""/>
      <w:lvlJc w:val="left"/>
      <w:pPr>
        <w:ind w:left="6480" w:hanging="360"/>
      </w:pPr>
      <w:rPr>
        <w:rFonts w:ascii="Wingdings" w:hAnsi="Wingdings" w:hint="default"/>
      </w:rPr>
    </w:lvl>
  </w:abstractNum>
  <w:abstractNum w:abstractNumId="3" w15:restartNumberingAfterBreak="0">
    <w:nsid w:val="37C36499"/>
    <w:multiLevelType w:val="hybridMultilevel"/>
    <w:tmpl w:val="3EDE4812"/>
    <w:lvl w:ilvl="0" w:tplc="5C3283C4">
      <w:start w:val="1"/>
      <w:numFmt w:val="bullet"/>
      <w:lvlText w:val=""/>
      <w:lvlJc w:val="left"/>
      <w:pPr>
        <w:tabs>
          <w:tab w:val="num" w:pos="720"/>
        </w:tabs>
        <w:ind w:left="720" w:hanging="360"/>
      </w:pPr>
      <w:rPr>
        <w:rFonts w:ascii="Symbol" w:hAnsi="Symbol" w:hint="default"/>
      </w:rPr>
    </w:lvl>
    <w:lvl w:ilvl="1" w:tplc="9E3CF200" w:tentative="1">
      <w:start w:val="1"/>
      <w:numFmt w:val="bullet"/>
      <w:lvlText w:val="o"/>
      <w:lvlJc w:val="left"/>
      <w:pPr>
        <w:ind w:left="1440" w:hanging="360"/>
      </w:pPr>
      <w:rPr>
        <w:rFonts w:ascii="Courier New" w:hAnsi="Courier New" w:cs="Courier New" w:hint="default"/>
      </w:rPr>
    </w:lvl>
    <w:lvl w:ilvl="2" w:tplc="B504F740" w:tentative="1">
      <w:start w:val="1"/>
      <w:numFmt w:val="bullet"/>
      <w:lvlText w:val=""/>
      <w:lvlJc w:val="left"/>
      <w:pPr>
        <w:ind w:left="2160" w:hanging="360"/>
      </w:pPr>
      <w:rPr>
        <w:rFonts w:ascii="Wingdings" w:hAnsi="Wingdings" w:hint="default"/>
      </w:rPr>
    </w:lvl>
    <w:lvl w:ilvl="3" w:tplc="F062A0DE" w:tentative="1">
      <w:start w:val="1"/>
      <w:numFmt w:val="bullet"/>
      <w:lvlText w:val=""/>
      <w:lvlJc w:val="left"/>
      <w:pPr>
        <w:ind w:left="2880" w:hanging="360"/>
      </w:pPr>
      <w:rPr>
        <w:rFonts w:ascii="Symbol" w:hAnsi="Symbol" w:hint="default"/>
      </w:rPr>
    </w:lvl>
    <w:lvl w:ilvl="4" w:tplc="0E1A4D72" w:tentative="1">
      <w:start w:val="1"/>
      <w:numFmt w:val="bullet"/>
      <w:lvlText w:val="o"/>
      <w:lvlJc w:val="left"/>
      <w:pPr>
        <w:ind w:left="3600" w:hanging="360"/>
      </w:pPr>
      <w:rPr>
        <w:rFonts w:ascii="Courier New" w:hAnsi="Courier New" w:cs="Courier New" w:hint="default"/>
      </w:rPr>
    </w:lvl>
    <w:lvl w:ilvl="5" w:tplc="777C3142" w:tentative="1">
      <w:start w:val="1"/>
      <w:numFmt w:val="bullet"/>
      <w:lvlText w:val=""/>
      <w:lvlJc w:val="left"/>
      <w:pPr>
        <w:ind w:left="4320" w:hanging="360"/>
      </w:pPr>
      <w:rPr>
        <w:rFonts w:ascii="Wingdings" w:hAnsi="Wingdings" w:hint="default"/>
      </w:rPr>
    </w:lvl>
    <w:lvl w:ilvl="6" w:tplc="33C42D3A" w:tentative="1">
      <w:start w:val="1"/>
      <w:numFmt w:val="bullet"/>
      <w:lvlText w:val=""/>
      <w:lvlJc w:val="left"/>
      <w:pPr>
        <w:ind w:left="5040" w:hanging="360"/>
      </w:pPr>
      <w:rPr>
        <w:rFonts w:ascii="Symbol" w:hAnsi="Symbol" w:hint="default"/>
      </w:rPr>
    </w:lvl>
    <w:lvl w:ilvl="7" w:tplc="5BF40450" w:tentative="1">
      <w:start w:val="1"/>
      <w:numFmt w:val="bullet"/>
      <w:lvlText w:val="o"/>
      <w:lvlJc w:val="left"/>
      <w:pPr>
        <w:ind w:left="5760" w:hanging="360"/>
      </w:pPr>
      <w:rPr>
        <w:rFonts w:ascii="Courier New" w:hAnsi="Courier New" w:cs="Courier New" w:hint="default"/>
      </w:rPr>
    </w:lvl>
    <w:lvl w:ilvl="8" w:tplc="B4A6EF7E" w:tentative="1">
      <w:start w:val="1"/>
      <w:numFmt w:val="bullet"/>
      <w:lvlText w:val=""/>
      <w:lvlJc w:val="left"/>
      <w:pPr>
        <w:ind w:left="6480" w:hanging="360"/>
      </w:pPr>
      <w:rPr>
        <w:rFonts w:ascii="Wingdings" w:hAnsi="Wingdings" w:hint="default"/>
      </w:rPr>
    </w:lvl>
  </w:abstractNum>
  <w:abstractNum w:abstractNumId="4" w15:restartNumberingAfterBreak="0">
    <w:nsid w:val="422F4F46"/>
    <w:multiLevelType w:val="hybridMultilevel"/>
    <w:tmpl w:val="DBD64428"/>
    <w:lvl w:ilvl="0" w:tplc="ECDA069E">
      <w:start w:val="1"/>
      <w:numFmt w:val="bullet"/>
      <w:lvlText w:val=""/>
      <w:lvlJc w:val="left"/>
      <w:pPr>
        <w:tabs>
          <w:tab w:val="num" w:pos="720"/>
        </w:tabs>
        <w:ind w:left="720" w:hanging="360"/>
      </w:pPr>
      <w:rPr>
        <w:rFonts w:ascii="Symbol" w:hAnsi="Symbol" w:hint="default"/>
      </w:rPr>
    </w:lvl>
    <w:lvl w:ilvl="1" w:tplc="3F0634B0" w:tentative="1">
      <w:start w:val="1"/>
      <w:numFmt w:val="bullet"/>
      <w:lvlText w:val="o"/>
      <w:lvlJc w:val="left"/>
      <w:pPr>
        <w:ind w:left="1440" w:hanging="360"/>
      </w:pPr>
      <w:rPr>
        <w:rFonts w:ascii="Courier New" w:hAnsi="Courier New" w:cs="Courier New" w:hint="default"/>
      </w:rPr>
    </w:lvl>
    <w:lvl w:ilvl="2" w:tplc="B6648F08" w:tentative="1">
      <w:start w:val="1"/>
      <w:numFmt w:val="bullet"/>
      <w:lvlText w:val=""/>
      <w:lvlJc w:val="left"/>
      <w:pPr>
        <w:ind w:left="2160" w:hanging="360"/>
      </w:pPr>
      <w:rPr>
        <w:rFonts w:ascii="Wingdings" w:hAnsi="Wingdings" w:hint="default"/>
      </w:rPr>
    </w:lvl>
    <w:lvl w:ilvl="3" w:tplc="A9EE7BFC" w:tentative="1">
      <w:start w:val="1"/>
      <w:numFmt w:val="bullet"/>
      <w:lvlText w:val=""/>
      <w:lvlJc w:val="left"/>
      <w:pPr>
        <w:ind w:left="2880" w:hanging="360"/>
      </w:pPr>
      <w:rPr>
        <w:rFonts w:ascii="Symbol" w:hAnsi="Symbol" w:hint="default"/>
      </w:rPr>
    </w:lvl>
    <w:lvl w:ilvl="4" w:tplc="03A88FC8" w:tentative="1">
      <w:start w:val="1"/>
      <w:numFmt w:val="bullet"/>
      <w:lvlText w:val="o"/>
      <w:lvlJc w:val="left"/>
      <w:pPr>
        <w:ind w:left="3600" w:hanging="360"/>
      </w:pPr>
      <w:rPr>
        <w:rFonts w:ascii="Courier New" w:hAnsi="Courier New" w:cs="Courier New" w:hint="default"/>
      </w:rPr>
    </w:lvl>
    <w:lvl w:ilvl="5" w:tplc="5232A7B4" w:tentative="1">
      <w:start w:val="1"/>
      <w:numFmt w:val="bullet"/>
      <w:lvlText w:val=""/>
      <w:lvlJc w:val="left"/>
      <w:pPr>
        <w:ind w:left="4320" w:hanging="360"/>
      </w:pPr>
      <w:rPr>
        <w:rFonts w:ascii="Wingdings" w:hAnsi="Wingdings" w:hint="default"/>
      </w:rPr>
    </w:lvl>
    <w:lvl w:ilvl="6" w:tplc="2542A7FA" w:tentative="1">
      <w:start w:val="1"/>
      <w:numFmt w:val="bullet"/>
      <w:lvlText w:val=""/>
      <w:lvlJc w:val="left"/>
      <w:pPr>
        <w:ind w:left="5040" w:hanging="360"/>
      </w:pPr>
      <w:rPr>
        <w:rFonts w:ascii="Symbol" w:hAnsi="Symbol" w:hint="default"/>
      </w:rPr>
    </w:lvl>
    <w:lvl w:ilvl="7" w:tplc="C6321936" w:tentative="1">
      <w:start w:val="1"/>
      <w:numFmt w:val="bullet"/>
      <w:lvlText w:val="o"/>
      <w:lvlJc w:val="left"/>
      <w:pPr>
        <w:ind w:left="5760" w:hanging="360"/>
      </w:pPr>
      <w:rPr>
        <w:rFonts w:ascii="Courier New" w:hAnsi="Courier New" w:cs="Courier New" w:hint="default"/>
      </w:rPr>
    </w:lvl>
    <w:lvl w:ilvl="8" w:tplc="8A16F672" w:tentative="1">
      <w:start w:val="1"/>
      <w:numFmt w:val="bullet"/>
      <w:lvlText w:val=""/>
      <w:lvlJc w:val="left"/>
      <w:pPr>
        <w:ind w:left="6480" w:hanging="360"/>
      </w:pPr>
      <w:rPr>
        <w:rFonts w:ascii="Wingdings" w:hAnsi="Wingdings" w:hint="default"/>
      </w:rPr>
    </w:lvl>
  </w:abstractNum>
  <w:abstractNum w:abstractNumId="5" w15:restartNumberingAfterBreak="0">
    <w:nsid w:val="534668C6"/>
    <w:multiLevelType w:val="hybridMultilevel"/>
    <w:tmpl w:val="A2868562"/>
    <w:lvl w:ilvl="0" w:tplc="1122C992">
      <w:start w:val="1"/>
      <w:numFmt w:val="bullet"/>
      <w:lvlText w:val=""/>
      <w:lvlJc w:val="left"/>
      <w:pPr>
        <w:tabs>
          <w:tab w:val="num" w:pos="720"/>
        </w:tabs>
        <w:ind w:left="720" w:hanging="360"/>
      </w:pPr>
      <w:rPr>
        <w:rFonts w:ascii="Symbol" w:hAnsi="Symbol" w:hint="default"/>
      </w:rPr>
    </w:lvl>
    <w:lvl w:ilvl="1" w:tplc="5B3C79DA" w:tentative="1">
      <w:start w:val="1"/>
      <w:numFmt w:val="bullet"/>
      <w:lvlText w:val="o"/>
      <w:lvlJc w:val="left"/>
      <w:pPr>
        <w:ind w:left="1440" w:hanging="360"/>
      </w:pPr>
      <w:rPr>
        <w:rFonts w:ascii="Courier New" w:hAnsi="Courier New" w:cs="Courier New" w:hint="default"/>
      </w:rPr>
    </w:lvl>
    <w:lvl w:ilvl="2" w:tplc="055CEF70" w:tentative="1">
      <w:start w:val="1"/>
      <w:numFmt w:val="bullet"/>
      <w:lvlText w:val=""/>
      <w:lvlJc w:val="left"/>
      <w:pPr>
        <w:ind w:left="2160" w:hanging="360"/>
      </w:pPr>
      <w:rPr>
        <w:rFonts w:ascii="Wingdings" w:hAnsi="Wingdings" w:hint="default"/>
      </w:rPr>
    </w:lvl>
    <w:lvl w:ilvl="3" w:tplc="501A8C0A" w:tentative="1">
      <w:start w:val="1"/>
      <w:numFmt w:val="bullet"/>
      <w:lvlText w:val=""/>
      <w:lvlJc w:val="left"/>
      <w:pPr>
        <w:ind w:left="2880" w:hanging="360"/>
      </w:pPr>
      <w:rPr>
        <w:rFonts w:ascii="Symbol" w:hAnsi="Symbol" w:hint="default"/>
      </w:rPr>
    </w:lvl>
    <w:lvl w:ilvl="4" w:tplc="05F61C7A" w:tentative="1">
      <w:start w:val="1"/>
      <w:numFmt w:val="bullet"/>
      <w:lvlText w:val="o"/>
      <w:lvlJc w:val="left"/>
      <w:pPr>
        <w:ind w:left="3600" w:hanging="360"/>
      </w:pPr>
      <w:rPr>
        <w:rFonts w:ascii="Courier New" w:hAnsi="Courier New" w:cs="Courier New" w:hint="default"/>
      </w:rPr>
    </w:lvl>
    <w:lvl w:ilvl="5" w:tplc="EB48E4FE" w:tentative="1">
      <w:start w:val="1"/>
      <w:numFmt w:val="bullet"/>
      <w:lvlText w:val=""/>
      <w:lvlJc w:val="left"/>
      <w:pPr>
        <w:ind w:left="4320" w:hanging="360"/>
      </w:pPr>
      <w:rPr>
        <w:rFonts w:ascii="Wingdings" w:hAnsi="Wingdings" w:hint="default"/>
      </w:rPr>
    </w:lvl>
    <w:lvl w:ilvl="6" w:tplc="82686A68" w:tentative="1">
      <w:start w:val="1"/>
      <w:numFmt w:val="bullet"/>
      <w:lvlText w:val=""/>
      <w:lvlJc w:val="left"/>
      <w:pPr>
        <w:ind w:left="5040" w:hanging="360"/>
      </w:pPr>
      <w:rPr>
        <w:rFonts w:ascii="Symbol" w:hAnsi="Symbol" w:hint="default"/>
      </w:rPr>
    </w:lvl>
    <w:lvl w:ilvl="7" w:tplc="74185C08" w:tentative="1">
      <w:start w:val="1"/>
      <w:numFmt w:val="bullet"/>
      <w:lvlText w:val="o"/>
      <w:lvlJc w:val="left"/>
      <w:pPr>
        <w:ind w:left="5760" w:hanging="360"/>
      </w:pPr>
      <w:rPr>
        <w:rFonts w:ascii="Courier New" w:hAnsi="Courier New" w:cs="Courier New" w:hint="default"/>
      </w:rPr>
    </w:lvl>
    <w:lvl w:ilvl="8" w:tplc="23DE608A" w:tentative="1">
      <w:start w:val="1"/>
      <w:numFmt w:val="bullet"/>
      <w:lvlText w:val=""/>
      <w:lvlJc w:val="left"/>
      <w:pPr>
        <w:ind w:left="6480" w:hanging="360"/>
      </w:pPr>
      <w:rPr>
        <w:rFonts w:ascii="Wingdings" w:hAnsi="Wingdings" w:hint="default"/>
      </w:rPr>
    </w:lvl>
  </w:abstractNum>
  <w:abstractNum w:abstractNumId="6" w15:restartNumberingAfterBreak="0">
    <w:nsid w:val="7A08636F"/>
    <w:multiLevelType w:val="hybridMultilevel"/>
    <w:tmpl w:val="E11453A0"/>
    <w:lvl w:ilvl="0" w:tplc="50A65A9A">
      <w:start w:val="1"/>
      <w:numFmt w:val="bullet"/>
      <w:lvlText w:val=""/>
      <w:lvlJc w:val="left"/>
      <w:pPr>
        <w:ind w:left="720" w:hanging="360"/>
      </w:pPr>
      <w:rPr>
        <w:rFonts w:ascii="Symbol" w:hAnsi="Symbol" w:hint="default"/>
      </w:rPr>
    </w:lvl>
    <w:lvl w:ilvl="1" w:tplc="2E468E9A" w:tentative="1">
      <w:start w:val="1"/>
      <w:numFmt w:val="bullet"/>
      <w:lvlText w:val="o"/>
      <w:lvlJc w:val="left"/>
      <w:pPr>
        <w:ind w:left="1440" w:hanging="360"/>
      </w:pPr>
      <w:rPr>
        <w:rFonts w:ascii="Courier New" w:hAnsi="Courier New" w:cs="Courier New" w:hint="default"/>
      </w:rPr>
    </w:lvl>
    <w:lvl w:ilvl="2" w:tplc="21A4E678" w:tentative="1">
      <w:start w:val="1"/>
      <w:numFmt w:val="bullet"/>
      <w:lvlText w:val=""/>
      <w:lvlJc w:val="left"/>
      <w:pPr>
        <w:ind w:left="2160" w:hanging="360"/>
      </w:pPr>
      <w:rPr>
        <w:rFonts w:ascii="Wingdings" w:hAnsi="Wingdings" w:hint="default"/>
      </w:rPr>
    </w:lvl>
    <w:lvl w:ilvl="3" w:tplc="416C2848" w:tentative="1">
      <w:start w:val="1"/>
      <w:numFmt w:val="bullet"/>
      <w:lvlText w:val=""/>
      <w:lvlJc w:val="left"/>
      <w:pPr>
        <w:ind w:left="2880" w:hanging="360"/>
      </w:pPr>
      <w:rPr>
        <w:rFonts w:ascii="Symbol" w:hAnsi="Symbol" w:hint="default"/>
      </w:rPr>
    </w:lvl>
    <w:lvl w:ilvl="4" w:tplc="B6D8F80A" w:tentative="1">
      <w:start w:val="1"/>
      <w:numFmt w:val="bullet"/>
      <w:lvlText w:val="o"/>
      <w:lvlJc w:val="left"/>
      <w:pPr>
        <w:ind w:left="3600" w:hanging="360"/>
      </w:pPr>
      <w:rPr>
        <w:rFonts w:ascii="Courier New" w:hAnsi="Courier New" w:cs="Courier New" w:hint="default"/>
      </w:rPr>
    </w:lvl>
    <w:lvl w:ilvl="5" w:tplc="1F706630" w:tentative="1">
      <w:start w:val="1"/>
      <w:numFmt w:val="bullet"/>
      <w:lvlText w:val=""/>
      <w:lvlJc w:val="left"/>
      <w:pPr>
        <w:ind w:left="4320" w:hanging="360"/>
      </w:pPr>
      <w:rPr>
        <w:rFonts w:ascii="Wingdings" w:hAnsi="Wingdings" w:hint="default"/>
      </w:rPr>
    </w:lvl>
    <w:lvl w:ilvl="6" w:tplc="D25C9EE0" w:tentative="1">
      <w:start w:val="1"/>
      <w:numFmt w:val="bullet"/>
      <w:lvlText w:val=""/>
      <w:lvlJc w:val="left"/>
      <w:pPr>
        <w:ind w:left="5040" w:hanging="360"/>
      </w:pPr>
      <w:rPr>
        <w:rFonts w:ascii="Symbol" w:hAnsi="Symbol" w:hint="default"/>
      </w:rPr>
    </w:lvl>
    <w:lvl w:ilvl="7" w:tplc="685AA430" w:tentative="1">
      <w:start w:val="1"/>
      <w:numFmt w:val="bullet"/>
      <w:lvlText w:val="o"/>
      <w:lvlJc w:val="left"/>
      <w:pPr>
        <w:ind w:left="5760" w:hanging="360"/>
      </w:pPr>
      <w:rPr>
        <w:rFonts w:ascii="Courier New" w:hAnsi="Courier New" w:cs="Courier New" w:hint="default"/>
      </w:rPr>
    </w:lvl>
    <w:lvl w:ilvl="8" w:tplc="44E0D2EC"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26"/>
    <w:rsid w:val="00000A70"/>
    <w:rsid w:val="000019B7"/>
    <w:rsid w:val="000032B8"/>
    <w:rsid w:val="00003B06"/>
    <w:rsid w:val="000054B9"/>
    <w:rsid w:val="00007461"/>
    <w:rsid w:val="0001117E"/>
    <w:rsid w:val="0001125F"/>
    <w:rsid w:val="000117C1"/>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47A"/>
    <w:rsid w:val="00031C95"/>
    <w:rsid w:val="000330D4"/>
    <w:rsid w:val="0003572D"/>
    <w:rsid w:val="00035DB0"/>
    <w:rsid w:val="00037088"/>
    <w:rsid w:val="0003781C"/>
    <w:rsid w:val="000400D5"/>
    <w:rsid w:val="00042926"/>
    <w:rsid w:val="0004368E"/>
    <w:rsid w:val="00043B84"/>
    <w:rsid w:val="0004512B"/>
    <w:rsid w:val="000463F0"/>
    <w:rsid w:val="00046BDA"/>
    <w:rsid w:val="0004762E"/>
    <w:rsid w:val="00055C12"/>
    <w:rsid w:val="00055FE4"/>
    <w:rsid w:val="000608B0"/>
    <w:rsid w:val="0006104C"/>
    <w:rsid w:val="00064BF2"/>
    <w:rsid w:val="000667BA"/>
    <w:rsid w:val="000676A7"/>
    <w:rsid w:val="00071A8F"/>
    <w:rsid w:val="00073914"/>
    <w:rsid w:val="00074236"/>
    <w:rsid w:val="000746BD"/>
    <w:rsid w:val="00076C5A"/>
    <w:rsid w:val="00076D7D"/>
    <w:rsid w:val="00080D95"/>
    <w:rsid w:val="000853DB"/>
    <w:rsid w:val="000907A2"/>
    <w:rsid w:val="00090E6B"/>
    <w:rsid w:val="00091B2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256C"/>
    <w:rsid w:val="000E2AB6"/>
    <w:rsid w:val="000E5B20"/>
    <w:rsid w:val="000E7C14"/>
    <w:rsid w:val="000F094C"/>
    <w:rsid w:val="000F0FD8"/>
    <w:rsid w:val="000F18A2"/>
    <w:rsid w:val="000F2A7F"/>
    <w:rsid w:val="000F3DBD"/>
    <w:rsid w:val="000F4843"/>
    <w:rsid w:val="000F5843"/>
    <w:rsid w:val="000F66AA"/>
    <w:rsid w:val="000F6A06"/>
    <w:rsid w:val="0010154D"/>
    <w:rsid w:val="0010347D"/>
    <w:rsid w:val="00110F8C"/>
    <w:rsid w:val="0011274A"/>
    <w:rsid w:val="00113522"/>
    <w:rsid w:val="0011378D"/>
    <w:rsid w:val="00115EE9"/>
    <w:rsid w:val="001169F9"/>
    <w:rsid w:val="00120797"/>
    <w:rsid w:val="0012371B"/>
    <w:rsid w:val="001245C8"/>
    <w:rsid w:val="001247C5"/>
    <w:rsid w:val="00127893"/>
    <w:rsid w:val="001312BB"/>
    <w:rsid w:val="00134311"/>
    <w:rsid w:val="001354FA"/>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4FC5"/>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2A10"/>
    <w:rsid w:val="001C60B5"/>
    <w:rsid w:val="001C61B0"/>
    <w:rsid w:val="001C7957"/>
    <w:rsid w:val="001C7DB8"/>
    <w:rsid w:val="001C7EA8"/>
    <w:rsid w:val="001D1711"/>
    <w:rsid w:val="001D2A01"/>
    <w:rsid w:val="001D2EF6"/>
    <w:rsid w:val="001D35E0"/>
    <w:rsid w:val="001D37A8"/>
    <w:rsid w:val="001D462E"/>
    <w:rsid w:val="001E2CAD"/>
    <w:rsid w:val="001E34DB"/>
    <w:rsid w:val="001E35CE"/>
    <w:rsid w:val="001E37CD"/>
    <w:rsid w:val="001E4070"/>
    <w:rsid w:val="001E655E"/>
    <w:rsid w:val="001F47CF"/>
    <w:rsid w:val="001F6B91"/>
    <w:rsid w:val="001F703C"/>
    <w:rsid w:val="00200B9E"/>
    <w:rsid w:val="00200BF5"/>
    <w:rsid w:val="002010D1"/>
    <w:rsid w:val="00201338"/>
    <w:rsid w:val="0020775D"/>
    <w:rsid w:val="002116DD"/>
    <w:rsid w:val="0021226A"/>
    <w:rsid w:val="0021383D"/>
    <w:rsid w:val="00214950"/>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346"/>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77CC3"/>
    <w:rsid w:val="00280123"/>
    <w:rsid w:val="00281343"/>
    <w:rsid w:val="00281883"/>
    <w:rsid w:val="002874E3"/>
    <w:rsid w:val="00287656"/>
    <w:rsid w:val="00291518"/>
    <w:rsid w:val="00296FF0"/>
    <w:rsid w:val="002A17C0"/>
    <w:rsid w:val="002A3A61"/>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11"/>
    <w:rsid w:val="002D305A"/>
    <w:rsid w:val="002D466D"/>
    <w:rsid w:val="002D6192"/>
    <w:rsid w:val="002E02EC"/>
    <w:rsid w:val="002E21B8"/>
    <w:rsid w:val="002E7DF9"/>
    <w:rsid w:val="002F097B"/>
    <w:rsid w:val="002F3111"/>
    <w:rsid w:val="002F4AEC"/>
    <w:rsid w:val="002F6CD2"/>
    <w:rsid w:val="002F795D"/>
    <w:rsid w:val="00300823"/>
    <w:rsid w:val="00300D7F"/>
    <w:rsid w:val="00301638"/>
    <w:rsid w:val="00303B0C"/>
    <w:rsid w:val="0030459C"/>
    <w:rsid w:val="00306328"/>
    <w:rsid w:val="00313DFE"/>
    <w:rsid w:val="003141D6"/>
    <w:rsid w:val="003143B2"/>
    <w:rsid w:val="00314821"/>
    <w:rsid w:val="0031483F"/>
    <w:rsid w:val="0031741B"/>
    <w:rsid w:val="00321337"/>
    <w:rsid w:val="00321F2F"/>
    <w:rsid w:val="003237F6"/>
    <w:rsid w:val="00324077"/>
    <w:rsid w:val="0032453B"/>
    <w:rsid w:val="00324868"/>
    <w:rsid w:val="003305F5"/>
    <w:rsid w:val="00332BEB"/>
    <w:rsid w:val="00333930"/>
    <w:rsid w:val="00336BA4"/>
    <w:rsid w:val="00336C7A"/>
    <w:rsid w:val="00337075"/>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44C"/>
    <w:rsid w:val="00361FE9"/>
    <w:rsid w:val="003624F2"/>
    <w:rsid w:val="00363854"/>
    <w:rsid w:val="00364315"/>
    <w:rsid w:val="003643E2"/>
    <w:rsid w:val="0036672A"/>
    <w:rsid w:val="00370155"/>
    <w:rsid w:val="003712D5"/>
    <w:rsid w:val="00372CB8"/>
    <w:rsid w:val="00377E3D"/>
    <w:rsid w:val="003847E8"/>
    <w:rsid w:val="003859F9"/>
    <w:rsid w:val="0038731D"/>
    <w:rsid w:val="00387B60"/>
    <w:rsid w:val="00390098"/>
    <w:rsid w:val="00392DA1"/>
    <w:rsid w:val="00393718"/>
    <w:rsid w:val="003A0296"/>
    <w:rsid w:val="003A10BC"/>
    <w:rsid w:val="003A7964"/>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422"/>
    <w:rsid w:val="003C1871"/>
    <w:rsid w:val="003C1C55"/>
    <w:rsid w:val="003C25EA"/>
    <w:rsid w:val="003C36FD"/>
    <w:rsid w:val="003C664C"/>
    <w:rsid w:val="003C6ABD"/>
    <w:rsid w:val="003D525D"/>
    <w:rsid w:val="003D726D"/>
    <w:rsid w:val="003E0BB8"/>
    <w:rsid w:val="003E6CB0"/>
    <w:rsid w:val="003F1F5E"/>
    <w:rsid w:val="003F286A"/>
    <w:rsid w:val="003F2C7A"/>
    <w:rsid w:val="003F77F8"/>
    <w:rsid w:val="00400ACD"/>
    <w:rsid w:val="00403B15"/>
    <w:rsid w:val="00403E8A"/>
    <w:rsid w:val="004101E4"/>
    <w:rsid w:val="00410661"/>
    <w:rsid w:val="004108C3"/>
    <w:rsid w:val="00410B33"/>
    <w:rsid w:val="004120CC"/>
    <w:rsid w:val="00412ED2"/>
    <w:rsid w:val="00412F0F"/>
    <w:rsid w:val="004134CE"/>
    <w:rsid w:val="004136A8"/>
    <w:rsid w:val="004137A4"/>
    <w:rsid w:val="00415139"/>
    <w:rsid w:val="004166BB"/>
    <w:rsid w:val="004174CD"/>
    <w:rsid w:val="004241AA"/>
    <w:rsid w:val="0042422E"/>
    <w:rsid w:val="00427C68"/>
    <w:rsid w:val="0043190E"/>
    <w:rsid w:val="004324E9"/>
    <w:rsid w:val="004348AB"/>
    <w:rsid w:val="004350F3"/>
    <w:rsid w:val="00436980"/>
    <w:rsid w:val="00441016"/>
    <w:rsid w:val="00441F2F"/>
    <w:rsid w:val="0044228B"/>
    <w:rsid w:val="00447018"/>
    <w:rsid w:val="00450561"/>
    <w:rsid w:val="00450A40"/>
    <w:rsid w:val="00451D7C"/>
    <w:rsid w:val="00452FC3"/>
    <w:rsid w:val="00455936"/>
    <w:rsid w:val="00455ACE"/>
    <w:rsid w:val="00461B69"/>
    <w:rsid w:val="0046247B"/>
    <w:rsid w:val="00462B3D"/>
    <w:rsid w:val="00474927"/>
    <w:rsid w:val="00475913"/>
    <w:rsid w:val="00477E9E"/>
    <w:rsid w:val="00480080"/>
    <w:rsid w:val="004824A7"/>
    <w:rsid w:val="00483AF0"/>
    <w:rsid w:val="00484167"/>
    <w:rsid w:val="00492211"/>
    <w:rsid w:val="00492325"/>
    <w:rsid w:val="00492A6D"/>
    <w:rsid w:val="00494303"/>
    <w:rsid w:val="0049682B"/>
    <w:rsid w:val="004A03F7"/>
    <w:rsid w:val="004A081C"/>
    <w:rsid w:val="004A123F"/>
    <w:rsid w:val="004A2172"/>
    <w:rsid w:val="004A51BE"/>
    <w:rsid w:val="004B07F0"/>
    <w:rsid w:val="004B138F"/>
    <w:rsid w:val="004B2618"/>
    <w:rsid w:val="004B412A"/>
    <w:rsid w:val="004B43D2"/>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2483"/>
    <w:rsid w:val="005269CE"/>
    <w:rsid w:val="005304B2"/>
    <w:rsid w:val="005336BD"/>
    <w:rsid w:val="00534A49"/>
    <w:rsid w:val="005363BB"/>
    <w:rsid w:val="00541B98"/>
    <w:rsid w:val="00543374"/>
    <w:rsid w:val="00545548"/>
    <w:rsid w:val="00546923"/>
    <w:rsid w:val="00551CA6"/>
    <w:rsid w:val="00555034"/>
    <w:rsid w:val="0055562D"/>
    <w:rsid w:val="005570D2"/>
    <w:rsid w:val="0056153F"/>
    <w:rsid w:val="00561B14"/>
    <w:rsid w:val="00562C87"/>
    <w:rsid w:val="005636BD"/>
    <w:rsid w:val="005666D5"/>
    <w:rsid w:val="005669A7"/>
    <w:rsid w:val="00573401"/>
    <w:rsid w:val="00576714"/>
    <w:rsid w:val="0057685A"/>
    <w:rsid w:val="00583FE0"/>
    <w:rsid w:val="005847EF"/>
    <w:rsid w:val="005851E6"/>
    <w:rsid w:val="005864DC"/>
    <w:rsid w:val="005878B7"/>
    <w:rsid w:val="005928A6"/>
    <w:rsid w:val="00592C9A"/>
    <w:rsid w:val="00593DF8"/>
    <w:rsid w:val="00595745"/>
    <w:rsid w:val="005A0E18"/>
    <w:rsid w:val="005A12A5"/>
    <w:rsid w:val="005A3790"/>
    <w:rsid w:val="005A3CCB"/>
    <w:rsid w:val="005A6D13"/>
    <w:rsid w:val="005A76E9"/>
    <w:rsid w:val="005B031F"/>
    <w:rsid w:val="005B3298"/>
    <w:rsid w:val="005B52AE"/>
    <w:rsid w:val="005B5516"/>
    <w:rsid w:val="005B5D2B"/>
    <w:rsid w:val="005C1496"/>
    <w:rsid w:val="005C17C5"/>
    <w:rsid w:val="005C2B21"/>
    <w:rsid w:val="005C2C00"/>
    <w:rsid w:val="005C32E1"/>
    <w:rsid w:val="005C4C6F"/>
    <w:rsid w:val="005C5127"/>
    <w:rsid w:val="005C7CCB"/>
    <w:rsid w:val="005D1444"/>
    <w:rsid w:val="005D4DAE"/>
    <w:rsid w:val="005D767D"/>
    <w:rsid w:val="005D7A30"/>
    <w:rsid w:val="005D7D3B"/>
    <w:rsid w:val="005E1999"/>
    <w:rsid w:val="005E232C"/>
    <w:rsid w:val="005E2B83"/>
    <w:rsid w:val="005E4319"/>
    <w:rsid w:val="005E4AEB"/>
    <w:rsid w:val="005E738F"/>
    <w:rsid w:val="005E788B"/>
    <w:rsid w:val="005F4862"/>
    <w:rsid w:val="005F5679"/>
    <w:rsid w:val="005F5FDF"/>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194E"/>
    <w:rsid w:val="006249CB"/>
    <w:rsid w:val="006272DD"/>
    <w:rsid w:val="00630963"/>
    <w:rsid w:val="00631897"/>
    <w:rsid w:val="00632928"/>
    <w:rsid w:val="006330DA"/>
    <w:rsid w:val="00633262"/>
    <w:rsid w:val="00633460"/>
    <w:rsid w:val="0063552A"/>
    <w:rsid w:val="006402E7"/>
    <w:rsid w:val="00640CB6"/>
    <w:rsid w:val="00641B42"/>
    <w:rsid w:val="00645750"/>
    <w:rsid w:val="00650692"/>
    <w:rsid w:val="006508D3"/>
    <w:rsid w:val="00650AFA"/>
    <w:rsid w:val="0066066D"/>
    <w:rsid w:val="00662B77"/>
    <w:rsid w:val="00662D0E"/>
    <w:rsid w:val="00663265"/>
    <w:rsid w:val="0066345F"/>
    <w:rsid w:val="0066485B"/>
    <w:rsid w:val="00664BE3"/>
    <w:rsid w:val="0067036E"/>
    <w:rsid w:val="00671693"/>
    <w:rsid w:val="00671942"/>
    <w:rsid w:val="006757AA"/>
    <w:rsid w:val="0068127E"/>
    <w:rsid w:val="00681790"/>
    <w:rsid w:val="006823AA"/>
    <w:rsid w:val="00684B98"/>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1DA7"/>
    <w:rsid w:val="006D3005"/>
    <w:rsid w:val="006D504F"/>
    <w:rsid w:val="006D5C3C"/>
    <w:rsid w:val="006D7520"/>
    <w:rsid w:val="006E0CAC"/>
    <w:rsid w:val="006E1CFB"/>
    <w:rsid w:val="006E1F94"/>
    <w:rsid w:val="006E30A8"/>
    <w:rsid w:val="006E45B0"/>
    <w:rsid w:val="006E4E1B"/>
    <w:rsid w:val="006E5692"/>
    <w:rsid w:val="006F2913"/>
    <w:rsid w:val="006F365D"/>
    <w:rsid w:val="00701A00"/>
    <w:rsid w:val="007031BD"/>
    <w:rsid w:val="00703E80"/>
    <w:rsid w:val="00705276"/>
    <w:rsid w:val="007066A0"/>
    <w:rsid w:val="007075FB"/>
    <w:rsid w:val="0070787B"/>
    <w:rsid w:val="0071131D"/>
    <w:rsid w:val="00711E3D"/>
    <w:rsid w:val="00711E85"/>
    <w:rsid w:val="00712DDA"/>
    <w:rsid w:val="00717739"/>
    <w:rsid w:val="00717DE4"/>
    <w:rsid w:val="00721724"/>
    <w:rsid w:val="007229A9"/>
    <w:rsid w:val="00722EC5"/>
    <w:rsid w:val="00723326"/>
    <w:rsid w:val="00724252"/>
    <w:rsid w:val="00727E7A"/>
    <w:rsid w:val="00727E95"/>
    <w:rsid w:val="0073163C"/>
    <w:rsid w:val="00731DE3"/>
    <w:rsid w:val="00735B9D"/>
    <w:rsid w:val="007365A5"/>
    <w:rsid w:val="00736976"/>
    <w:rsid w:val="00736FB0"/>
    <w:rsid w:val="007404BC"/>
    <w:rsid w:val="00740D13"/>
    <w:rsid w:val="00740F5F"/>
    <w:rsid w:val="00742794"/>
    <w:rsid w:val="00743C4C"/>
    <w:rsid w:val="007445B7"/>
    <w:rsid w:val="00744920"/>
    <w:rsid w:val="007509BE"/>
    <w:rsid w:val="0075287B"/>
    <w:rsid w:val="00755C7B"/>
    <w:rsid w:val="0076018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44D"/>
    <w:rsid w:val="007A0989"/>
    <w:rsid w:val="007A331F"/>
    <w:rsid w:val="007A3844"/>
    <w:rsid w:val="007A4381"/>
    <w:rsid w:val="007A5466"/>
    <w:rsid w:val="007A59D0"/>
    <w:rsid w:val="007A7EC1"/>
    <w:rsid w:val="007B4FCA"/>
    <w:rsid w:val="007B7B85"/>
    <w:rsid w:val="007C462E"/>
    <w:rsid w:val="007C496B"/>
    <w:rsid w:val="007C6803"/>
    <w:rsid w:val="007D2892"/>
    <w:rsid w:val="007D2DCC"/>
    <w:rsid w:val="007D47E1"/>
    <w:rsid w:val="007D7FCB"/>
    <w:rsid w:val="007E33B6"/>
    <w:rsid w:val="007E4773"/>
    <w:rsid w:val="007E59E8"/>
    <w:rsid w:val="007F3861"/>
    <w:rsid w:val="007F4162"/>
    <w:rsid w:val="007F5441"/>
    <w:rsid w:val="007F7668"/>
    <w:rsid w:val="00800C63"/>
    <w:rsid w:val="00802243"/>
    <w:rsid w:val="008023D4"/>
    <w:rsid w:val="00805402"/>
    <w:rsid w:val="008056EF"/>
    <w:rsid w:val="0080765F"/>
    <w:rsid w:val="00811292"/>
    <w:rsid w:val="00812BE3"/>
    <w:rsid w:val="0081369F"/>
    <w:rsid w:val="00814516"/>
    <w:rsid w:val="008170E2"/>
    <w:rsid w:val="00823E4C"/>
    <w:rsid w:val="00827749"/>
    <w:rsid w:val="0082796F"/>
    <w:rsid w:val="00827B7E"/>
    <w:rsid w:val="00830EEB"/>
    <w:rsid w:val="008347A9"/>
    <w:rsid w:val="00835628"/>
    <w:rsid w:val="00835E90"/>
    <w:rsid w:val="0084176D"/>
    <w:rsid w:val="008423E4"/>
    <w:rsid w:val="00842900"/>
    <w:rsid w:val="008475BA"/>
    <w:rsid w:val="00850CF0"/>
    <w:rsid w:val="00851869"/>
    <w:rsid w:val="00851C04"/>
    <w:rsid w:val="008531A1"/>
    <w:rsid w:val="00853A94"/>
    <w:rsid w:val="008547A3"/>
    <w:rsid w:val="0085797D"/>
    <w:rsid w:val="00860020"/>
    <w:rsid w:val="008618E7"/>
    <w:rsid w:val="00861995"/>
    <w:rsid w:val="0086231A"/>
    <w:rsid w:val="0086477C"/>
    <w:rsid w:val="00864BAD"/>
    <w:rsid w:val="00866E36"/>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A04FA"/>
    <w:rsid w:val="008A3188"/>
    <w:rsid w:val="008A3FDF"/>
    <w:rsid w:val="008A6418"/>
    <w:rsid w:val="008B05D8"/>
    <w:rsid w:val="008B0B3D"/>
    <w:rsid w:val="008B0E50"/>
    <w:rsid w:val="008B142A"/>
    <w:rsid w:val="008B2B1A"/>
    <w:rsid w:val="008B3428"/>
    <w:rsid w:val="008B7785"/>
    <w:rsid w:val="008C0809"/>
    <w:rsid w:val="008C131E"/>
    <w:rsid w:val="008C132C"/>
    <w:rsid w:val="008C3FD0"/>
    <w:rsid w:val="008C4AB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0D0"/>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58F"/>
    <w:rsid w:val="0095696D"/>
    <w:rsid w:val="0096482F"/>
    <w:rsid w:val="00964E3A"/>
    <w:rsid w:val="009658BF"/>
    <w:rsid w:val="00967126"/>
    <w:rsid w:val="00970EAE"/>
    <w:rsid w:val="00971627"/>
    <w:rsid w:val="00972797"/>
    <w:rsid w:val="0097279D"/>
    <w:rsid w:val="00973BAB"/>
    <w:rsid w:val="00973E4F"/>
    <w:rsid w:val="00976837"/>
    <w:rsid w:val="00980311"/>
    <w:rsid w:val="0098170E"/>
    <w:rsid w:val="0098285C"/>
    <w:rsid w:val="00983B56"/>
    <w:rsid w:val="009847FD"/>
    <w:rsid w:val="009851B3"/>
    <w:rsid w:val="00985300"/>
    <w:rsid w:val="00986720"/>
    <w:rsid w:val="00987113"/>
    <w:rsid w:val="00987F00"/>
    <w:rsid w:val="0099403D"/>
    <w:rsid w:val="00995B0B"/>
    <w:rsid w:val="009A1883"/>
    <w:rsid w:val="009A39F5"/>
    <w:rsid w:val="009A3BD3"/>
    <w:rsid w:val="009A4588"/>
    <w:rsid w:val="009A5EA5"/>
    <w:rsid w:val="009B00C2"/>
    <w:rsid w:val="009B0F64"/>
    <w:rsid w:val="009B26AB"/>
    <w:rsid w:val="009B3476"/>
    <w:rsid w:val="009B39BC"/>
    <w:rsid w:val="009B5069"/>
    <w:rsid w:val="009B69AD"/>
    <w:rsid w:val="009B7164"/>
    <w:rsid w:val="009B7806"/>
    <w:rsid w:val="009C05C1"/>
    <w:rsid w:val="009C1E9A"/>
    <w:rsid w:val="009C2A33"/>
    <w:rsid w:val="009C2E49"/>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1AE"/>
    <w:rsid w:val="009F1B37"/>
    <w:rsid w:val="009F4EB0"/>
    <w:rsid w:val="009F4F2B"/>
    <w:rsid w:val="009F513E"/>
    <w:rsid w:val="009F5802"/>
    <w:rsid w:val="009F64AE"/>
    <w:rsid w:val="00A0042D"/>
    <w:rsid w:val="00A0053A"/>
    <w:rsid w:val="00A00C33"/>
    <w:rsid w:val="00A00E9D"/>
    <w:rsid w:val="00A01103"/>
    <w:rsid w:val="00A012C0"/>
    <w:rsid w:val="00A014AC"/>
    <w:rsid w:val="00A014BB"/>
    <w:rsid w:val="00A01E10"/>
    <w:rsid w:val="00A02D81"/>
    <w:rsid w:val="00A03F54"/>
    <w:rsid w:val="00A0432D"/>
    <w:rsid w:val="00A07689"/>
    <w:rsid w:val="00A07906"/>
    <w:rsid w:val="00A10908"/>
    <w:rsid w:val="00A12330"/>
    <w:rsid w:val="00A1259F"/>
    <w:rsid w:val="00A1446F"/>
    <w:rsid w:val="00A151B5"/>
    <w:rsid w:val="00A16C70"/>
    <w:rsid w:val="00A20449"/>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57A0B"/>
    <w:rsid w:val="00A60177"/>
    <w:rsid w:val="00A61C27"/>
    <w:rsid w:val="00A6344D"/>
    <w:rsid w:val="00A644B8"/>
    <w:rsid w:val="00A66A35"/>
    <w:rsid w:val="00A70E35"/>
    <w:rsid w:val="00A720DC"/>
    <w:rsid w:val="00A803CF"/>
    <w:rsid w:val="00A8133F"/>
    <w:rsid w:val="00A82CB4"/>
    <w:rsid w:val="00A837A8"/>
    <w:rsid w:val="00A83C36"/>
    <w:rsid w:val="00A91EDC"/>
    <w:rsid w:val="00A932BB"/>
    <w:rsid w:val="00A93579"/>
    <w:rsid w:val="00A93934"/>
    <w:rsid w:val="00A95D51"/>
    <w:rsid w:val="00A975BD"/>
    <w:rsid w:val="00AA18AE"/>
    <w:rsid w:val="00AA228B"/>
    <w:rsid w:val="00AA597A"/>
    <w:rsid w:val="00AA7D40"/>
    <w:rsid w:val="00AA7E52"/>
    <w:rsid w:val="00AB1655"/>
    <w:rsid w:val="00AB1873"/>
    <w:rsid w:val="00AB2C05"/>
    <w:rsid w:val="00AB474B"/>
    <w:rsid w:val="00AB5CCC"/>
    <w:rsid w:val="00AB74E2"/>
    <w:rsid w:val="00AC2E9A"/>
    <w:rsid w:val="00AC5AAB"/>
    <w:rsid w:val="00AC5AEC"/>
    <w:rsid w:val="00AC5F28"/>
    <w:rsid w:val="00AC6900"/>
    <w:rsid w:val="00AC6AB2"/>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17A4A"/>
    <w:rsid w:val="00B233BB"/>
    <w:rsid w:val="00B25612"/>
    <w:rsid w:val="00B26437"/>
    <w:rsid w:val="00B2678E"/>
    <w:rsid w:val="00B30647"/>
    <w:rsid w:val="00B31F0E"/>
    <w:rsid w:val="00B34E43"/>
    <w:rsid w:val="00B34F25"/>
    <w:rsid w:val="00B35B74"/>
    <w:rsid w:val="00B43672"/>
    <w:rsid w:val="00B5165A"/>
    <w:rsid w:val="00B524C1"/>
    <w:rsid w:val="00B52C8D"/>
    <w:rsid w:val="00B564BF"/>
    <w:rsid w:val="00B6104E"/>
    <w:rsid w:val="00B610C7"/>
    <w:rsid w:val="00B62106"/>
    <w:rsid w:val="00B626A8"/>
    <w:rsid w:val="00B65695"/>
    <w:rsid w:val="00B66526"/>
    <w:rsid w:val="00B665A3"/>
    <w:rsid w:val="00B73BB4"/>
    <w:rsid w:val="00B76BA9"/>
    <w:rsid w:val="00B80532"/>
    <w:rsid w:val="00B82039"/>
    <w:rsid w:val="00B82454"/>
    <w:rsid w:val="00B82FF3"/>
    <w:rsid w:val="00B87A9A"/>
    <w:rsid w:val="00B90097"/>
    <w:rsid w:val="00B90999"/>
    <w:rsid w:val="00B91AD7"/>
    <w:rsid w:val="00B92D23"/>
    <w:rsid w:val="00B95BC8"/>
    <w:rsid w:val="00B96E87"/>
    <w:rsid w:val="00BA0C74"/>
    <w:rsid w:val="00BA146A"/>
    <w:rsid w:val="00BA32EE"/>
    <w:rsid w:val="00BB5B36"/>
    <w:rsid w:val="00BC027B"/>
    <w:rsid w:val="00BC30A6"/>
    <w:rsid w:val="00BC3ED3"/>
    <w:rsid w:val="00BC3EF6"/>
    <w:rsid w:val="00BC4E34"/>
    <w:rsid w:val="00BC51D0"/>
    <w:rsid w:val="00BC58E1"/>
    <w:rsid w:val="00BC59CA"/>
    <w:rsid w:val="00BC6462"/>
    <w:rsid w:val="00BD0A32"/>
    <w:rsid w:val="00BD291A"/>
    <w:rsid w:val="00BD4E55"/>
    <w:rsid w:val="00BD4F74"/>
    <w:rsid w:val="00BD513B"/>
    <w:rsid w:val="00BD5E52"/>
    <w:rsid w:val="00BD63B5"/>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5B25"/>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09A8"/>
    <w:rsid w:val="00CD180C"/>
    <w:rsid w:val="00CD37DA"/>
    <w:rsid w:val="00CD4F2C"/>
    <w:rsid w:val="00CD50FE"/>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406A"/>
    <w:rsid w:val="00D060A8"/>
    <w:rsid w:val="00D06605"/>
    <w:rsid w:val="00D0720F"/>
    <w:rsid w:val="00D074E2"/>
    <w:rsid w:val="00D11B0B"/>
    <w:rsid w:val="00D12A3E"/>
    <w:rsid w:val="00D22160"/>
    <w:rsid w:val="00D22172"/>
    <w:rsid w:val="00D2301B"/>
    <w:rsid w:val="00D239EE"/>
    <w:rsid w:val="00D30534"/>
    <w:rsid w:val="00D35728"/>
    <w:rsid w:val="00D36221"/>
    <w:rsid w:val="00D37BCF"/>
    <w:rsid w:val="00D4083F"/>
    <w:rsid w:val="00D40F93"/>
    <w:rsid w:val="00D42277"/>
    <w:rsid w:val="00D43C59"/>
    <w:rsid w:val="00D44ADE"/>
    <w:rsid w:val="00D50D65"/>
    <w:rsid w:val="00D512E0"/>
    <w:rsid w:val="00D519F3"/>
    <w:rsid w:val="00D51D2A"/>
    <w:rsid w:val="00D53B7C"/>
    <w:rsid w:val="00D5458E"/>
    <w:rsid w:val="00D55F52"/>
    <w:rsid w:val="00D56508"/>
    <w:rsid w:val="00D60913"/>
    <w:rsid w:val="00D61611"/>
    <w:rsid w:val="00D61784"/>
    <w:rsid w:val="00D6178A"/>
    <w:rsid w:val="00D63B53"/>
    <w:rsid w:val="00D64B88"/>
    <w:rsid w:val="00D64DC5"/>
    <w:rsid w:val="00D65D86"/>
    <w:rsid w:val="00D66250"/>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C1F1B"/>
    <w:rsid w:val="00DC3D8F"/>
    <w:rsid w:val="00DC42E8"/>
    <w:rsid w:val="00DC6DBB"/>
    <w:rsid w:val="00DD0022"/>
    <w:rsid w:val="00DD073C"/>
    <w:rsid w:val="00DD128C"/>
    <w:rsid w:val="00DD1B8F"/>
    <w:rsid w:val="00DD7509"/>
    <w:rsid w:val="00DD79C7"/>
    <w:rsid w:val="00DE34B2"/>
    <w:rsid w:val="00DE49DE"/>
    <w:rsid w:val="00DE618B"/>
    <w:rsid w:val="00DE6EC2"/>
    <w:rsid w:val="00DF0834"/>
    <w:rsid w:val="00DF2707"/>
    <w:rsid w:val="00DF4D90"/>
    <w:rsid w:val="00DF5EBD"/>
    <w:rsid w:val="00DF6BA8"/>
    <w:rsid w:val="00DF78EA"/>
    <w:rsid w:val="00DF7CA3"/>
    <w:rsid w:val="00DF7F0D"/>
    <w:rsid w:val="00E0035F"/>
    <w:rsid w:val="00E00D5A"/>
    <w:rsid w:val="00E01462"/>
    <w:rsid w:val="00E01A76"/>
    <w:rsid w:val="00E04B30"/>
    <w:rsid w:val="00E05FB7"/>
    <w:rsid w:val="00E066E6"/>
    <w:rsid w:val="00E06807"/>
    <w:rsid w:val="00E06C5E"/>
    <w:rsid w:val="00E0752B"/>
    <w:rsid w:val="00E0799A"/>
    <w:rsid w:val="00E1228E"/>
    <w:rsid w:val="00E125B4"/>
    <w:rsid w:val="00E13374"/>
    <w:rsid w:val="00E14079"/>
    <w:rsid w:val="00E15F90"/>
    <w:rsid w:val="00E16D3E"/>
    <w:rsid w:val="00E17167"/>
    <w:rsid w:val="00E173A1"/>
    <w:rsid w:val="00E20520"/>
    <w:rsid w:val="00E21D55"/>
    <w:rsid w:val="00E21FDC"/>
    <w:rsid w:val="00E2551E"/>
    <w:rsid w:val="00E26B13"/>
    <w:rsid w:val="00E27E5A"/>
    <w:rsid w:val="00E31135"/>
    <w:rsid w:val="00E317BA"/>
    <w:rsid w:val="00E3469B"/>
    <w:rsid w:val="00E3679D"/>
    <w:rsid w:val="00E3795D"/>
    <w:rsid w:val="00E4098A"/>
    <w:rsid w:val="00E40E0C"/>
    <w:rsid w:val="00E41CAE"/>
    <w:rsid w:val="00E42B85"/>
    <w:rsid w:val="00E42BB2"/>
    <w:rsid w:val="00E43263"/>
    <w:rsid w:val="00E438AE"/>
    <w:rsid w:val="00E443CE"/>
    <w:rsid w:val="00E45547"/>
    <w:rsid w:val="00E500F1"/>
    <w:rsid w:val="00E51446"/>
    <w:rsid w:val="00E529C8"/>
    <w:rsid w:val="00E56033"/>
    <w:rsid w:val="00E61159"/>
    <w:rsid w:val="00E625DA"/>
    <w:rsid w:val="00E628F1"/>
    <w:rsid w:val="00E634DC"/>
    <w:rsid w:val="00E667F3"/>
    <w:rsid w:val="00E675A2"/>
    <w:rsid w:val="00E67794"/>
    <w:rsid w:val="00E70CC6"/>
    <w:rsid w:val="00E71254"/>
    <w:rsid w:val="00E71D3D"/>
    <w:rsid w:val="00E73CCD"/>
    <w:rsid w:val="00E76453"/>
    <w:rsid w:val="00E77353"/>
    <w:rsid w:val="00E775AE"/>
    <w:rsid w:val="00E77E5D"/>
    <w:rsid w:val="00E8272C"/>
    <w:rsid w:val="00E827C7"/>
    <w:rsid w:val="00E85DBD"/>
    <w:rsid w:val="00E87A99"/>
    <w:rsid w:val="00E90702"/>
    <w:rsid w:val="00E9241E"/>
    <w:rsid w:val="00E92AA5"/>
    <w:rsid w:val="00E93DEF"/>
    <w:rsid w:val="00E947B1"/>
    <w:rsid w:val="00E95D21"/>
    <w:rsid w:val="00EA16AC"/>
    <w:rsid w:val="00EA385A"/>
    <w:rsid w:val="00EA3931"/>
    <w:rsid w:val="00EA658E"/>
    <w:rsid w:val="00EA7A88"/>
    <w:rsid w:val="00EB0AA1"/>
    <w:rsid w:val="00EB27F2"/>
    <w:rsid w:val="00EB3928"/>
    <w:rsid w:val="00EB5373"/>
    <w:rsid w:val="00EB62CB"/>
    <w:rsid w:val="00EC02A2"/>
    <w:rsid w:val="00EC379B"/>
    <w:rsid w:val="00EC37DF"/>
    <w:rsid w:val="00EC41B1"/>
    <w:rsid w:val="00ED0665"/>
    <w:rsid w:val="00ED12C0"/>
    <w:rsid w:val="00ED19F0"/>
    <w:rsid w:val="00ED1C51"/>
    <w:rsid w:val="00ED2B50"/>
    <w:rsid w:val="00ED2ED7"/>
    <w:rsid w:val="00ED3A32"/>
    <w:rsid w:val="00ED3BDE"/>
    <w:rsid w:val="00ED4B94"/>
    <w:rsid w:val="00ED68FB"/>
    <w:rsid w:val="00ED783A"/>
    <w:rsid w:val="00EE2E34"/>
    <w:rsid w:val="00EE2E91"/>
    <w:rsid w:val="00EE3FE5"/>
    <w:rsid w:val="00EE43A2"/>
    <w:rsid w:val="00EE46B7"/>
    <w:rsid w:val="00EE5A49"/>
    <w:rsid w:val="00EE664B"/>
    <w:rsid w:val="00EF10BA"/>
    <w:rsid w:val="00EF1738"/>
    <w:rsid w:val="00EF2BAF"/>
    <w:rsid w:val="00EF3127"/>
    <w:rsid w:val="00EF3B8F"/>
    <w:rsid w:val="00EF543E"/>
    <w:rsid w:val="00EF559F"/>
    <w:rsid w:val="00EF5AA2"/>
    <w:rsid w:val="00EF7E26"/>
    <w:rsid w:val="00F02096"/>
    <w:rsid w:val="00F02457"/>
    <w:rsid w:val="00F036C3"/>
    <w:rsid w:val="00F0417E"/>
    <w:rsid w:val="00F05397"/>
    <w:rsid w:val="00F0638C"/>
    <w:rsid w:val="00F11E04"/>
    <w:rsid w:val="00F12B24"/>
    <w:rsid w:val="00F12BC7"/>
    <w:rsid w:val="00F15223"/>
    <w:rsid w:val="00F164B4"/>
    <w:rsid w:val="00F176E4"/>
    <w:rsid w:val="00F20E5F"/>
    <w:rsid w:val="00F24F63"/>
    <w:rsid w:val="00F25CC2"/>
    <w:rsid w:val="00F27573"/>
    <w:rsid w:val="00F31876"/>
    <w:rsid w:val="00F31C67"/>
    <w:rsid w:val="00F36FE0"/>
    <w:rsid w:val="00F37EA8"/>
    <w:rsid w:val="00F40B14"/>
    <w:rsid w:val="00F41186"/>
    <w:rsid w:val="00F41EEF"/>
    <w:rsid w:val="00F41FAC"/>
    <w:rsid w:val="00F4220C"/>
    <w:rsid w:val="00F423D3"/>
    <w:rsid w:val="00F44349"/>
    <w:rsid w:val="00F4569E"/>
    <w:rsid w:val="00F45AFC"/>
    <w:rsid w:val="00F462F4"/>
    <w:rsid w:val="00F50130"/>
    <w:rsid w:val="00F52402"/>
    <w:rsid w:val="00F5605D"/>
    <w:rsid w:val="00F6343A"/>
    <w:rsid w:val="00F6514B"/>
    <w:rsid w:val="00F6587F"/>
    <w:rsid w:val="00F67981"/>
    <w:rsid w:val="00F706CA"/>
    <w:rsid w:val="00F70F8D"/>
    <w:rsid w:val="00F71C5A"/>
    <w:rsid w:val="00F733A4"/>
    <w:rsid w:val="00F76E07"/>
    <w:rsid w:val="00F7758F"/>
    <w:rsid w:val="00F82811"/>
    <w:rsid w:val="00F84153"/>
    <w:rsid w:val="00F85661"/>
    <w:rsid w:val="00F96602"/>
    <w:rsid w:val="00F9735A"/>
    <w:rsid w:val="00FA32FC"/>
    <w:rsid w:val="00FA4CA5"/>
    <w:rsid w:val="00FA59FD"/>
    <w:rsid w:val="00FA5D8C"/>
    <w:rsid w:val="00FB16CD"/>
    <w:rsid w:val="00FB73AE"/>
    <w:rsid w:val="00FC5388"/>
    <w:rsid w:val="00FC677A"/>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1F"/>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0947B6-E60E-4EDF-A5F9-D0E6E2B9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A3BD3"/>
    <w:rPr>
      <w:sz w:val="16"/>
      <w:szCs w:val="16"/>
    </w:rPr>
  </w:style>
  <w:style w:type="paragraph" w:styleId="CommentText">
    <w:name w:val="annotation text"/>
    <w:basedOn w:val="Normal"/>
    <w:link w:val="CommentTextChar"/>
    <w:rsid w:val="009A3BD3"/>
    <w:rPr>
      <w:sz w:val="20"/>
      <w:szCs w:val="20"/>
    </w:rPr>
  </w:style>
  <w:style w:type="character" w:customStyle="1" w:styleId="CommentTextChar">
    <w:name w:val="Comment Text Char"/>
    <w:basedOn w:val="DefaultParagraphFont"/>
    <w:link w:val="CommentText"/>
    <w:rsid w:val="009A3BD3"/>
  </w:style>
  <w:style w:type="paragraph" w:styleId="CommentSubject">
    <w:name w:val="annotation subject"/>
    <w:basedOn w:val="CommentText"/>
    <w:next w:val="CommentText"/>
    <w:link w:val="CommentSubjectChar"/>
    <w:rsid w:val="009A3BD3"/>
    <w:rPr>
      <w:b/>
      <w:bCs/>
    </w:rPr>
  </w:style>
  <w:style w:type="character" w:customStyle="1" w:styleId="CommentSubjectChar">
    <w:name w:val="Comment Subject Char"/>
    <w:basedOn w:val="CommentTextChar"/>
    <w:link w:val="CommentSubject"/>
    <w:rsid w:val="009A3BD3"/>
    <w:rPr>
      <w:b/>
      <w:bCs/>
    </w:rPr>
  </w:style>
  <w:style w:type="paragraph" w:styleId="HTMLPreformatted">
    <w:name w:val="HTML Preformatted"/>
    <w:basedOn w:val="Normal"/>
    <w:link w:val="HTMLPreformattedChar"/>
    <w:rsid w:val="003A7964"/>
    <w:rPr>
      <w:rFonts w:ascii="Consolas" w:hAnsi="Consolas" w:cs="Consolas"/>
      <w:sz w:val="20"/>
      <w:szCs w:val="20"/>
    </w:rPr>
  </w:style>
  <w:style w:type="character" w:customStyle="1" w:styleId="HTMLPreformattedChar">
    <w:name w:val="HTML Preformatted Char"/>
    <w:basedOn w:val="DefaultParagraphFont"/>
    <w:link w:val="HTMLPreformatted"/>
    <w:rsid w:val="003A7964"/>
    <w:rPr>
      <w:rFonts w:ascii="Consolas" w:hAnsi="Consolas" w:cs="Consolas"/>
    </w:rPr>
  </w:style>
  <w:style w:type="paragraph" w:styleId="Revision">
    <w:name w:val="Revision"/>
    <w:hidden/>
    <w:uiPriority w:val="99"/>
    <w:semiHidden/>
    <w:rsid w:val="00C15B25"/>
    <w:rPr>
      <w:sz w:val="24"/>
      <w:szCs w:val="24"/>
    </w:rPr>
  </w:style>
  <w:style w:type="paragraph" w:styleId="ListParagraph">
    <w:name w:val="List Paragraph"/>
    <w:basedOn w:val="Normal"/>
    <w:uiPriority w:val="34"/>
    <w:qFormat/>
    <w:rsid w:val="007A044D"/>
    <w:pPr>
      <w:ind w:left="720"/>
      <w:contextualSpacing/>
    </w:pPr>
  </w:style>
  <w:style w:type="character" w:styleId="Hyperlink">
    <w:name w:val="Hyperlink"/>
    <w:basedOn w:val="DefaultParagraphFont"/>
    <w:unhideWhenUsed/>
    <w:rsid w:val="005928A6"/>
    <w:rPr>
      <w:color w:val="0000FF" w:themeColor="hyperlink"/>
      <w:u w:val="single"/>
    </w:rPr>
  </w:style>
  <w:style w:type="character" w:styleId="FollowedHyperlink">
    <w:name w:val="FollowedHyperlink"/>
    <w:basedOn w:val="DefaultParagraphFont"/>
    <w:semiHidden/>
    <w:unhideWhenUsed/>
    <w:rsid w:val="007A59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1626</Words>
  <Characters>9041</Characters>
  <Application>Microsoft Office Word</Application>
  <DocSecurity>4</DocSecurity>
  <Lines>175</Lines>
  <Paragraphs>53</Paragraphs>
  <ScaleCrop>false</ScaleCrop>
  <HeadingPairs>
    <vt:vector size="2" baseType="variant">
      <vt:variant>
        <vt:lpstr>Title</vt:lpstr>
      </vt:variant>
      <vt:variant>
        <vt:i4>1</vt:i4>
      </vt:variant>
    </vt:vector>
  </HeadingPairs>
  <TitlesOfParts>
    <vt:vector size="1" baseType="lpstr">
      <vt:lpstr>BA - HB02189 (Committee Report (Substituted))</vt:lpstr>
    </vt:vector>
  </TitlesOfParts>
  <Company>State of Texas</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18702</dc:subject>
  <dc:creator>State of Texas</dc:creator>
  <dc:description>HB 2189 by King, Phil-(H)State Affairs (Substitute Document Number: 87R 17676)</dc:description>
  <cp:lastModifiedBy>Lauren Bustamente</cp:lastModifiedBy>
  <cp:revision>2</cp:revision>
  <cp:lastPrinted>2016-12-27T17:22:00Z</cp:lastPrinted>
  <dcterms:created xsi:type="dcterms:W3CDTF">2021-04-12T23:25:00Z</dcterms:created>
  <dcterms:modified xsi:type="dcterms:W3CDTF">2021-04-12T23:25:00Z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21.98.820</vt:lpwstr>
  </property>
</Properties>
</file>