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E25E3" w14:paraId="4648E7E9" w14:textId="77777777" w:rsidTr="00345119">
        <w:tc>
          <w:tcPr>
            <w:tcW w:w="9576" w:type="dxa"/>
            <w:noWrap/>
          </w:tcPr>
          <w:p w14:paraId="50541F7D" w14:textId="77777777" w:rsidR="008423E4" w:rsidRPr="0022177D" w:rsidRDefault="00E75C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F5A5E4" w14:textId="77777777" w:rsidR="008423E4" w:rsidRPr="0022177D" w:rsidRDefault="008423E4" w:rsidP="008423E4">
      <w:pPr>
        <w:jc w:val="center"/>
      </w:pPr>
    </w:p>
    <w:p w14:paraId="6BEA0A45" w14:textId="77777777" w:rsidR="008423E4" w:rsidRPr="00B31F0E" w:rsidRDefault="008423E4" w:rsidP="008423E4"/>
    <w:p w14:paraId="0C98EF6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25E3" w14:paraId="21277B5B" w14:textId="77777777" w:rsidTr="00345119">
        <w:tc>
          <w:tcPr>
            <w:tcW w:w="9576" w:type="dxa"/>
          </w:tcPr>
          <w:p w14:paraId="62242EE2" w14:textId="4A73F5D6" w:rsidR="008423E4" w:rsidRPr="00861995" w:rsidRDefault="00E75CA3" w:rsidP="00345119">
            <w:pPr>
              <w:jc w:val="right"/>
            </w:pPr>
            <w:r>
              <w:t>C.S.H.B. 2245</w:t>
            </w:r>
          </w:p>
        </w:tc>
      </w:tr>
      <w:tr w:rsidR="002E25E3" w14:paraId="50FFD686" w14:textId="77777777" w:rsidTr="00345119">
        <w:tc>
          <w:tcPr>
            <w:tcW w:w="9576" w:type="dxa"/>
          </w:tcPr>
          <w:p w14:paraId="02B41114" w14:textId="5DAAF2E0" w:rsidR="008423E4" w:rsidRPr="00861995" w:rsidRDefault="00E75CA3" w:rsidP="00F26936">
            <w:pPr>
              <w:jc w:val="right"/>
            </w:pPr>
            <w:r>
              <w:t xml:space="preserve">By: </w:t>
            </w:r>
            <w:r w:rsidR="00F26936">
              <w:t>Shine</w:t>
            </w:r>
          </w:p>
        </w:tc>
      </w:tr>
      <w:tr w:rsidR="002E25E3" w14:paraId="7FD7B580" w14:textId="77777777" w:rsidTr="00345119">
        <w:tc>
          <w:tcPr>
            <w:tcW w:w="9576" w:type="dxa"/>
          </w:tcPr>
          <w:p w14:paraId="01D5BD9C" w14:textId="023456F1" w:rsidR="008423E4" w:rsidRPr="00861995" w:rsidRDefault="00E75CA3" w:rsidP="00345119">
            <w:pPr>
              <w:jc w:val="right"/>
            </w:pPr>
            <w:r>
              <w:t>Ways &amp; Means</w:t>
            </w:r>
          </w:p>
        </w:tc>
      </w:tr>
      <w:tr w:rsidR="002E25E3" w14:paraId="6A2903F0" w14:textId="77777777" w:rsidTr="00345119">
        <w:tc>
          <w:tcPr>
            <w:tcW w:w="9576" w:type="dxa"/>
          </w:tcPr>
          <w:p w14:paraId="115AF9AC" w14:textId="2CF80DAE" w:rsidR="008423E4" w:rsidRDefault="00E75CA3" w:rsidP="00F26936">
            <w:pPr>
              <w:jc w:val="right"/>
            </w:pPr>
            <w:r>
              <w:t>Committee Report (Substituted)</w:t>
            </w:r>
          </w:p>
        </w:tc>
      </w:tr>
    </w:tbl>
    <w:p w14:paraId="428900D4" w14:textId="77777777" w:rsidR="008423E4" w:rsidRDefault="008423E4" w:rsidP="008423E4">
      <w:pPr>
        <w:tabs>
          <w:tab w:val="right" w:pos="9360"/>
        </w:tabs>
      </w:pPr>
    </w:p>
    <w:p w14:paraId="1CF19B69" w14:textId="77777777" w:rsidR="008423E4" w:rsidRDefault="008423E4" w:rsidP="008423E4"/>
    <w:p w14:paraId="7BE3CF2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E25E3" w14:paraId="301CAE9F" w14:textId="77777777" w:rsidTr="00345119">
        <w:tc>
          <w:tcPr>
            <w:tcW w:w="9576" w:type="dxa"/>
          </w:tcPr>
          <w:p w14:paraId="6D8FEEDA" w14:textId="77777777" w:rsidR="008423E4" w:rsidRPr="00A8133F" w:rsidRDefault="00E75CA3" w:rsidP="00D32C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CB04A0" w14:textId="77777777" w:rsidR="008423E4" w:rsidRDefault="008423E4" w:rsidP="00D32C64"/>
          <w:p w14:paraId="3F7B123B" w14:textId="77777777" w:rsidR="008423E4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a number of concerns with respect to the property appraisal process. For instance, appraisal districts may use</w:t>
            </w:r>
            <w:r w:rsidRPr="00072B96">
              <w:t xml:space="preserve"> </w:t>
            </w:r>
            <w:r>
              <w:t xml:space="preserve">unique </w:t>
            </w:r>
            <w:r w:rsidR="00072B96" w:rsidRPr="00072B96">
              <w:t>account number</w:t>
            </w:r>
            <w:r>
              <w:t>s</w:t>
            </w:r>
            <w:r w:rsidR="00072B96" w:rsidRPr="00072B96">
              <w:t xml:space="preserve"> to identify all or part of </w:t>
            </w:r>
            <w:r>
              <w:t>a</w:t>
            </w:r>
            <w:r w:rsidR="00072B96" w:rsidRPr="00072B96">
              <w:t xml:space="preserve"> property</w:t>
            </w:r>
            <w:r>
              <w:t xml:space="preserve"> in the appraisal records. However, an appraisal district is not required to inform a property owner if their account number changes</w:t>
            </w:r>
            <w:r w:rsidR="00072B96" w:rsidRPr="00072B96">
              <w:t xml:space="preserve">. </w:t>
            </w:r>
            <w:r>
              <w:t xml:space="preserve">Additionally, </w:t>
            </w:r>
            <w:r w:rsidR="00072B96" w:rsidRPr="00072B96">
              <w:t xml:space="preserve">property owners </w:t>
            </w:r>
            <w:r>
              <w:t xml:space="preserve">currently do not have the option </w:t>
            </w:r>
            <w:r w:rsidR="00072B96" w:rsidRPr="00072B96">
              <w:t xml:space="preserve">to request that contiguous parcels </w:t>
            </w:r>
            <w:r>
              <w:t xml:space="preserve">or tracts </w:t>
            </w:r>
            <w:r w:rsidR="00072B96" w:rsidRPr="00072B96">
              <w:t xml:space="preserve">of land they own be combined into a single appraisal record </w:t>
            </w:r>
            <w:r>
              <w:t>or that</w:t>
            </w:r>
            <w:r w:rsidR="00072B96" w:rsidRPr="00072B96">
              <w:t xml:space="preserve"> separate identifiable segments of </w:t>
            </w:r>
            <w:r w:rsidR="003D4CEB">
              <w:t>a parcel or tract of their property</w:t>
            </w:r>
            <w:r w:rsidR="003D4CEB" w:rsidRPr="00072B96">
              <w:t xml:space="preserve"> </w:t>
            </w:r>
            <w:r>
              <w:t>be divided into individual</w:t>
            </w:r>
            <w:r w:rsidR="00072B96" w:rsidRPr="00072B96">
              <w:t xml:space="preserve"> appraisal records. </w:t>
            </w:r>
            <w:r w:rsidR="003D4CEB">
              <w:t>C.S.H.B. 2245 seeks to address these concerns</w:t>
            </w:r>
            <w:r w:rsidR="00662794">
              <w:t>.</w:t>
            </w:r>
          </w:p>
          <w:p w14:paraId="19781DD2" w14:textId="05C05B4B" w:rsidR="00373F58" w:rsidRPr="00E26B13" w:rsidRDefault="00373F58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E25E3" w14:paraId="2F79C275" w14:textId="77777777" w:rsidTr="00345119">
        <w:tc>
          <w:tcPr>
            <w:tcW w:w="9576" w:type="dxa"/>
          </w:tcPr>
          <w:p w14:paraId="5763DF7B" w14:textId="77777777" w:rsidR="0017725B" w:rsidRDefault="00E75CA3" w:rsidP="00D32C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8143BB" w14:textId="77777777" w:rsidR="0017725B" w:rsidRDefault="0017725B" w:rsidP="00D32C64">
            <w:pPr>
              <w:rPr>
                <w:b/>
                <w:u w:val="single"/>
              </w:rPr>
            </w:pPr>
          </w:p>
          <w:p w14:paraId="0A6483F7" w14:textId="77777777" w:rsidR="0017725B" w:rsidRDefault="00E75CA3" w:rsidP="00D32C6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531032CD" w14:textId="070CA00B" w:rsidR="00373F58" w:rsidRPr="003D3A26" w:rsidRDefault="00373F58" w:rsidP="00D32C64">
            <w:pPr>
              <w:jc w:val="both"/>
            </w:pPr>
          </w:p>
        </w:tc>
      </w:tr>
      <w:tr w:rsidR="002E25E3" w14:paraId="2F031824" w14:textId="77777777" w:rsidTr="00345119">
        <w:tc>
          <w:tcPr>
            <w:tcW w:w="9576" w:type="dxa"/>
          </w:tcPr>
          <w:p w14:paraId="6D25D021" w14:textId="77777777" w:rsidR="008423E4" w:rsidRPr="00A8133F" w:rsidRDefault="00E75CA3" w:rsidP="00D32C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AE62B8" w14:textId="77777777" w:rsidR="008423E4" w:rsidRDefault="008423E4" w:rsidP="00D32C64"/>
          <w:p w14:paraId="281FC784" w14:textId="77777777" w:rsidR="008423E4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30E19DD" w14:textId="5F06EF86" w:rsidR="00373F58" w:rsidRPr="003D3A26" w:rsidRDefault="00373F58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E25E3" w14:paraId="3E759111" w14:textId="77777777" w:rsidTr="00345119">
        <w:tc>
          <w:tcPr>
            <w:tcW w:w="9576" w:type="dxa"/>
          </w:tcPr>
          <w:p w14:paraId="24C1E34A" w14:textId="77777777" w:rsidR="008423E4" w:rsidRPr="00A8133F" w:rsidRDefault="00E75CA3" w:rsidP="00D32C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D3948ED" w14:textId="77777777" w:rsidR="008423E4" w:rsidRDefault="008423E4" w:rsidP="00D32C64"/>
          <w:p w14:paraId="6AD80A14" w14:textId="365F3600" w:rsidR="00661A62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A0616">
              <w:t xml:space="preserve">H.B. 2245 amends the Tax Code to require </w:t>
            </w:r>
            <w:r>
              <w:t xml:space="preserve">each </w:t>
            </w:r>
            <w:r w:rsidR="00AA0616" w:rsidRPr="00AA0616">
              <w:t>appraisal</w:t>
            </w:r>
            <w:r>
              <w:t xml:space="preserve"> record to have a unique account number. </w:t>
            </w:r>
            <w:r w:rsidRPr="00661A62">
              <w:t>If an appraisal district changes the account number,</w:t>
            </w:r>
            <w:r>
              <w:t xml:space="preserve"> the </w:t>
            </w:r>
            <w:r w:rsidR="00AA0616" w:rsidRPr="00AA0616">
              <w:t xml:space="preserve">district </w:t>
            </w:r>
            <w:r w:rsidR="00D201B8">
              <w:t xml:space="preserve">must </w:t>
            </w:r>
            <w:r w:rsidR="00AA0616" w:rsidRPr="00AA0616">
              <w:t xml:space="preserve">provide </w:t>
            </w:r>
            <w:r>
              <w:t xml:space="preserve">written </w:t>
            </w:r>
            <w:r w:rsidR="00AA0616" w:rsidRPr="00AA0616">
              <w:t>notice</w:t>
            </w:r>
            <w:r>
              <w:t xml:space="preserve"> of the change</w:t>
            </w:r>
            <w:r w:rsidR="00AA0616" w:rsidRPr="00AA0616">
              <w:t xml:space="preserve"> to </w:t>
            </w:r>
            <w:r>
              <w:t>the</w:t>
            </w:r>
            <w:r w:rsidR="007B27C2" w:rsidRPr="00AA0616">
              <w:t xml:space="preserve"> </w:t>
            </w:r>
            <w:r w:rsidR="00AA0616" w:rsidRPr="00AA0616">
              <w:t>property owner</w:t>
            </w:r>
            <w:r w:rsidR="00D201B8">
              <w:t xml:space="preserve"> as soon as practicable after the </w:t>
            </w:r>
            <w:r w:rsidR="00D561C3">
              <w:t>change and provide</w:t>
            </w:r>
            <w:r w:rsidR="00AA0616" w:rsidRPr="00AA0616">
              <w:t xml:space="preserve"> </w:t>
            </w:r>
            <w:r w:rsidR="00AA0616">
              <w:t xml:space="preserve">notice </w:t>
            </w:r>
            <w:r w:rsidR="00D561C3">
              <w:t xml:space="preserve">of the change </w:t>
            </w:r>
            <w:r w:rsidR="00AA0616" w:rsidRPr="00AA0616">
              <w:t>in the next notice of appraised value that is delivered to the owner</w:t>
            </w:r>
            <w:r w:rsidR="003D3A26">
              <w:t>.</w:t>
            </w:r>
            <w:r w:rsidR="00704975">
              <w:t xml:space="preserve"> </w:t>
            </w:r>
          </w:p>
          <w:p w14:paraId="5B2DDF0E" w14:textId="77777777" w:rsidR="00704975" w:rsidRDefault="00704975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53B9BA" w14:textId="59C9C5CC" w:rsidR="00704975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2245 requires </w:t>
            </w:r>
            <w:r w:rsidR="00D561C3">
              <w:t>a</w:t>
            </w:r>
            <w:r w:rsidRPr="00704975">
              <w:t xml:space="preserve"> chief appraiser</w:t>
            </w:r>
            <w:r>
              <w:t xml:space="preserve"> to do the following on written request of a property owner:</w:t>
            </w:r>
          </w:p>
          <w:p w14:paraId="4A6816A2" w14:textId="2CB5FDD9" w:rsidR="00704975" w:rsidRDefault="00E75CA3" w:rsidP="00D32C6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</w:t>
            </w:r>
            <w:r w:rsidRPr="00704975">
              <w:t xml:space="preserve">mbine contiguous parcels or tracts of </w:t>
            </w:r>
            <w:r w:rsidRPr="00704975">
              <w:t>the owner's real property</w:t>
            </w:r>
            <w:r>
              <w:t xml:space="preserve"> into a single appraisal record; </w:t>
            </w:r>
            <w:r w:rsidR="00D561C3">
              <w:t>or</w:t>
            </w:r>
            <w:r w:rsidRPr="00704975">
              <w:t xml:space="preserve"> </w:t>
            </w:r>
          </w:p>
          <w:p w14:paraId="09BF9C9F" w14:textId="77777777" w:rsidR="00704975" w:rsidRDefault="00E75CA3" w:rsidP="00D32C6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04975">
              <w:t>separate identifiable segments of the owner's parcel or tract of real property into individual appraisal records.</w:t>
            </w:r>
          </w:p>
          <w:p w14:paraId="51C3C051" w14:textId="6B3CD96C" w:rsidR="00407D44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These provisions do not apply to an appraisal record for a residential property,</w:t>
            </w:r>
            <w:r>
              <w:t xml:space="preserve"> for an improvement only, or for a property on which a delinquent tax is due.</w:t>
            </w:r>
          </w:p>
          <w:p w14:paraId="0DCE6199" w14:textId="77777777" w:rsidR="00407D44" w:rsidRDefault="00407D44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548450" w14:textId="328CCD16" w:rsidR="00704975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2245 requires the property owner to </w:t>
            </w:r>
            <w:r w:rsidR="00350DD0">
              <w:t xml:space="preserve">include in </w:t>
            </w:r>
            <w:r w:rsidR="002776F8">
              <w:t>the</w:t>
            </w:r>
            <w:r w:rsidR="00350DD0">
              <w:t xml:space="preserve"> request</w:t>
            </w:r>
            <w:r>
              <w:t xml:space="preserve"> a legal description as contained in a deed sufficient to describe the property and to make the request to the</w:t>
            </w:r>
            <w:r>
              <w:t xml:space="preserve"> chief appraiser </w:t>
            </w:r>
            <w:r w:rsidRPr="00704975">
              <w:t>before January</w:t>
            </w:r>
            <w:r w:rsidR="00373F58">
              <w:t> </w:t>
            </w:r>
            <w:r w:rsidRPr="00704975">
              <w:t xml:space="preserve">1 of the tax year for which the requested change is to be made. </w:t>
            </w:r>
            <w:r w:rsidR="009F2796">
              <w:t xml:space="preserve">If the chief appraiser refuses to combine or separate parcels or tracks as requested, the </w:t>
            </w:r>
            <w:r w:rsidR="009F2796" w:rsidRPr="009F2796">
              <w:t xml:space="preserve">appraisal review board </w:t>
            </w:r>
            <w:r w:rsidR="00D561C3">
              <w:t>(ARB) established for that appraisal district may</w:t>
            </w:r>
            <w:r w:rsidR="009F2796" w:rsidRPr="009F2796">
              <w:t xml:space="preserve"> order the requested change on a motion filed by the owner </w:t>
            </w:r>
            <w:r w:rsidR="009F2796">
              <w:t xml:space="preserve">for a correction of the appraisal roll </w:t>
            </w:r>
            <w:r w:rsidR="009F2796" w:rsidRPr="009F2796">
              <w:t xml:space="preserve">or a </w:t>
            </w:r>
            <w:r w:rsidR="00EE4A94">
              <w:t xml:space="preserve">taxpayer </w:t>
            </w:r>
            <w:r w:rsidR="009F2796" w:rsidRPr="009F2796">
              <w:t xml:space="preserve">protest filed </w:t>
            </w:r>
            <w:r w:rsidR="00EE4A94">
              <w:t xml:space="preserve">with the </w:t>
            </w:r>
            <w:r w:rsidR="00D561C3">
              <w:t>ARB</w:t>
            </w:r>
            <w:r w:rsidR="00EE4A94">
              <w:t xml:space="preserve">. </w:t>
            </w:r>
          </w:p>
          <w:p w14:paraId="25022234" w14:textId="77777777" w:rsidR="00373F58" w:rsidRDefault="00373F58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AF8B08" w14:textId="03B3D514" w:rsidR="00D32C64" w:rsidRPr="003D3A26" w:rsidRDefault="00D32C64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E25E3" w14:paraId="7F80F9D4" w14:textId="77777777" w:rsidTr="00345119">
        <w:tc>
          <w:tcPr>
            <w:tcW w:w="9576" w:type="dxa"/>
          </w:tcPr>
          <w:p w14:paraId="3F4B06E0" w14:textId="77777777" w:rsidR="008423E4" w:rsidRPr="00A8133F" w:rsidRDefault="00E75CA3" w:rsidP="00D32C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53A714" w14:textId="77777777" w:rsidR="008423E4" w:rsidRDefault="008423E4" w:rsidP="00D32C64"/>
          <w:p w14:paraId="30E04F8F" w14:textId="77777777" w:rsidR="008423E4" w:rsidRDefault="00E75CA3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E4A94">
              <w:t>September 1, 2021.</w:t>
            </w:r>
          </w:p>
          <w:p w14:paraId="703D6CB9" w14:textId="1E43FA26" w:rsidR="00373F58" w:rsidRPr="003D3A26" w:rsidRDefault="00373F58" w:rsidP="00D32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E25E3" w14:paraId="3FF7FF1A" w14:textId="77777777" w:rsidTr="00345119">
        <w:tc>
          <w:tcPr>
            <w:tcW w:w="9576" w:type="dxa"/>
          </w:tcPr>
          <w:p w14:paraId="07D5E4AF" w14:textId="04020A95" w:rsidR="00EE4A94" w:rsidRPr="00467099" w:rsidRDefault="00E75CA3" w:rsidP="00D32C6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664F35B" w14:textId="77777777" w:rsidR="00373F58" w:rsidRDefault="00373F58" w:rsidP="00D32C64">
            <w:pPr>
              <w:jc w:val="both"/>
            </w:pPr>
          </w:p>
          <w:p w14:paraId="6BA20185" w14:textId="6E8EC693" w:rsidR="00EE4A94" w:rsidRDefault="00E75CA3" w:rsidP="00D32C64">
            <w:pPr>
              <w:jc w:val="both"/>
            </w:pPr>
            <w:r>
              <w:t xml:space="preserve">While C.S.H.B. 2245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14:paraId="5D50D68A" w14:textId="6097DD76" w:rsidR="00AF5CEF" w:rsidRDefault="00AF5CEF" w:rsidP="00D32C64">
            <w:pPr>
              <w:jc w:val="both"/>
            </w:pPr>
          </w:p>
          <w:p w14:paraId="3A74360F" w14:textId="344D0BBB" w:rsidR="00AF5CEF" w:rsidRDefault="00E75CA3" w:rsidP="00D32C64">
            <w:pPr>
              <w:jc w:val="both"/>
            </w:pPr>
            <w:r>
              <w:t xml:space="preserve">The </w:t>
            </w:r>
            <w:r w:rsidR="003D2D6D">
              <w:t xml:space="preserve">original established certain </w:t>
            </w:r>
            <w:r>
              <w:t>notice requirement</w:t>
            </w:r>
            <w:r w:rsidR="003D2D6D">
              <w:t>s</w:t>
            </w:r>
            <w:r>
              <w:t xml:space="preserve"> applicable </w:t>
            </w:r>
            <w:r w:rsidR="003D2D6D">
              <w:t>with respect to a unique account number used to identify</w:t>
            </w:r>
            <w:r>
              <w:t xml:space="preserve"> property in the appraisal records</w:t>
            </w:r>
            <w:r w:rsidR="003D2D6D">
              <w:t xml:space="preserve">, but did not </w:t>
            </w:r>
            <w:r w:rsidR="00A366AC">
              <w:t>require</w:t>
            </w:r>
            <w:r w:rsidR="003D2D6D">
              <w:t xml:space="preserve"> that these numbers be used. </w:t>
            </w:r>
            <w:r>
              <w:t>The substitute</w:t>
            </w:r>
            <w:r w:rsidR="003D2D6D">
              <w:t xml:space="preserve"> retains these notice requirements but also</w:t>
            </w:r>
            <w:r>
              <w:t xml:space="preserve"> </w:t>
            </w:r>
            <w:r w:rsidR="00EE4EAE">
              <w:t>requires</w:t>
            </w:r>
            <w:r>
              <w:t xml:space="preserve"> </w:t>
            </w:r>
            <w:r w:rsidR="003D2D6D">
              <w:t xml:space="preserve">that </w:t>
            </w:r>
            <w:r>
              <w:t>each</w:t>
            </w:r>
            <w:r w:rsidRPr="00AF5CEF">
              <w:t xml:space="preserve"> appraisal record have </w:t>
            </w:r>
            <w:r w:rsidR="003D2D6D">
              <w:t xml:space="preserve">such </w:t>
            </w:r>
            <w:r w:rsidRPr="00AF5CEF">
              <w:t>a unique account number</w:t>
            </w:r>
            <w:r w:rsidR="003D2D6D">
              <w:t>.</w:t>
            </w:r>
          </w:p>
          <w:p w14:paraId="10D00D0C" w14:textId="57CA4749" w:rsidR="00EF6DB4" w:rsidRDefault="00EF6DB4" w:rsidP="00D32C64">
            <w:pPr>
              <w:jc w:val="both"/>
            </w:pPr>
          </w:p>
          <w:p w14:paraId="70987219" w14:textId="766BE790" w:rsidR="00A366AC" w:rsidRDefault="00E75CA3" w:rsidP="00D32C64">
            <w:pPr>
              <w:jc w:val="both"/>
            </w:pPr>
            <w:r>
              <w:t>The</w:t>
            </w:r>
            <w:r>
              <w:t xml:space="preserve"> substitute, in a provision that applies to certain types of property, includes </w:t>
            </w:r>
            <w:r w:rsidR="002F27DF">
              <w:t>provisions</w:t>
            </w:r>
            <w:r>
              <w:t xml:space="preserve"> </w:t>
            </w:r>
            <w:r w:rsidR="002F27DF">
              <w:t>not in the original requiring</w:t>
            </w:r>
            <w:r w:rsidRPr="00EF6DB4">
              <w:t xml:space="preserve"> </w:t>
            </w:r>
            <w:r w:rsidR="002F27DF">
              <w:t xml:space="preserve">a </w:t>
            </w:r>
            <w:r w:rsidRPr="00EF6DB4">
              <w:t xml:space="preserve">chief appraiser </w:t>
            </w:r>
            <w:r w:rsidR="002F27DF">
              <w:t xml:space="preserve">to </w:t>
            </w:r>
            <w:r w:rsidRPr="00EF6DB4">
              <w:t xml:space="preserve">combine </w:t>
            </w:r>
            <w:r w:rsidR="002F27DF">
              <w:t>contiguous</w:t>
            </w:r>
            <w:r w:rsidR="00467099">
              <w:t xml:space="preserve"> parcels or trac</w:t>
            </w:r>
            <w:r w:rsidR="002F27DF">
              <w:t>t</w:t>
            </w:r>
            <w:r w:rsidR="00467099">
              <w:t xml:space="preserve">s of property </w:t>
            </w:r>
            <w:r w:rsidR="002F27DF">
              <w:t xml:space="preserve">into a single appraisal record or separate segments thereof </w:t>
            </w:r>
            <w:r w:rsidR="00C23210">
              <w:t xml:space="preserve">into individual appraisal records on </w:t>
            </w:r>
            <w:r>
              <w:t xml:space="preserve">request </w:t>
            </w:r>
            <w:r w:rsidR="00C23210">
              <w:t>of</w:t>
            </w:r>
            <w:r w:rsidR="00467099">
              <w:t xml:space="preserve"> the property owner</w:t>
            </w:r>
            <w:r>
              <w:t>.</w:t>
            </w:r>
            <w:r w:rsidR="003B519E">
              <w:t xml:space="preserve"> </w:t>
            </w:r>
            <w:r>
              <w:t>The substitute includes provisions provid</w:t>
            </w:r>
            <w:r w:rsidR="00C23210">
              <w:t>ing</w:t>
            </w:r>
            <w:r>
              <w:t xml:space="preserve"> for </w:t>
            </w:r>
            <w:r w:rsidRPr="00EF6DB4">
              <w:t xml:space="preserve">the </w:t>
            </w:r>
            <w:r w:rsidR="00C23210">
              <w:t>applicable ARB</w:t>
            </w:r>
            <w:r w:rsidRPr="00EF6DB4">
              <w:t xml:space="preserve"> to order the requested change on a motion </w:t>
            </w:r>
            <w:r w:rsidR="00467099">
              <w:t xml:space="preserve">or </w:t>
            </w:r>
            <w:r w:rsidRPr="00EF6DB4">
              <w:t xml:space="preserve">protest filed by the owner </w:t>
            </w:r>
            <w:r>
              <w:t>if</w:t>
            </w:r>
            <w:r w:rsidRPr="00EF6DB4">
              <w:t xml:space="preserve"> the chief appraiser refuses to </w:t>
            </w:r>
            <w:r w:rsidR="00C23210">
              <w:t>comply with the</w:t>
            </w:r>
            <w:r w:rsidRPr="00EF6DB4">
              <w:t xml:space="preserve"> request</w:t>
            </w:r>
            <w:r>
              <w:t>.</w:t>
            </w:r>
            <w:r w:rsidR="00467099">
              <w:t xml:space="preserve"> </w:t>
            </w:r>
          </w:p>
          <w:p w14:paraId="3BA22FED" w14:textId="77777777" w:rsidR="00A366AC" w:rsidRDefault="00A366AC" w:rsidP="00D32C64">
            <w:pPr>
              <w:jc w:val="both"/>
            </w:pPr>
          </w:p>
          <w:p w14:paraId="4635AD60" w14:textId="5F3E7361" w:rsidR="00467099" w:rsidRDefault="00E75CA3" w:rsidP="00D32C64">
            <w:pPr>
              <w:jc w:val="both"/>
            </w:pPr>
            <w:r>
              <w:t xml:space="preserve">The substitute </w:t>
            </w:r>
            <w:r w:rsidR="008F1838">
              <w:t>omits a</w:t>
            </w:r>
            <w:r>
              <w:t xml:space="preserve"> provision</w:t>
            </w:r>
            <w:r w:rsidR="00B901FC">
              <w:t xml:space="preserve"> </w:t>
            </w:r>
            <w:r w:rsidR="008F1838">
              <w:t>included</w:t>
            </w:r>
            <w:r w:rsidR="00B901FC">
              <w:t xml:space="preserve"> </w:t>
            </w:r>
            <w:r w:rsidR="00A366AC">
              <w:t xml:space="preserve">in </w:t>
            </w:r>
            <w:r w:rsidR="00B901FC">
              <w:t>the original</w:t>
            </w:r>
            <w:r>
              <w:t xml:space="preserve"> </w:t>
            </w:r>
            <w:r w:rsidR="00B901FC">
              <w:t>ma</w:t>
            </w:r>
            <w:r w:rsidR="008F1838">
              <w:t>king</w:t>
            </w:r>
            <w:r w:rsidR="00B901FC">
              <w:t xml:space="preserve"> the bill's provisions applicable</w:t>
            </w:r>
            <w:r w:rsidRPr="00467099">
              <w:t xml:space="preserve"> only to </w:t>
            </w:r>
            <w:r w:rsidR="008F1838">
              <w:t>a property</w:t>
            </w:r>
            <w:r w:rsidRPr="00467099">
              <w:t xml:space="preserve"> tax year that begins on or after the </w:t>
            </w:r>
            <w:r w:rsidR="00B901FC">
              <w:t>bill's effective date.</w:t>
            </w:r>
          </w:p>
          <w:p w14:paraId="2028E6B7" w14:textId="77777777" w:rsidR="008F1838" w:rsidRDefault="008F1838" w:rsidP="00D32C64">
            <w:pPr>
              <w:jc w:val="both"/>
            </w:pPr>
          </w:p>
          <w:p w14:paraId="6C02BC20" w14:textId="1EFB672F" w:rsidR="008F1838" w:rsidRPr="00EE4A94" w:rsidRDefault="00E75CA3" w:rsidP="00D32C64">
            <w:pPr>
              <w:jc w:val="both"/>
            </w:pPr>
            <w:r>
              <w:t xml:space="preserve">The substitute changes the bill's effective date from January 1, </w:t>
            </w:r>
            <w:r>
              <w:t>2022, to September 1, 2021.</w:t>
            </w:r>
          </w:p>
        </w:tc>
      </w:tr>
      <w:tr w:rsidR="002E25E3" w14:paraId="42D0B588" w14:textId="77777777" w:rsidTr="00345119">
        <w:tc>
          <w:tcPr>
            <w:tcW w:w="9576" w:type="dxa"/>
          </w:tcPr>
          <w:p w14:paraId="5D7A95C6" w14:textId="77777777" w:rsidR="00F26936" w:rsidRPr="009C1E9A" w:rsidRDefault="00F26936" w:rsidP="00D32C64">
            <w:pPr>
              <w:rPr>
                <w:b/>
                <w:u w:val="single"/>
              </w:rPr>
            </w:pPr>
          </w:p>
        </w:tc>
      </w:tr>
      <w:tr w:rsidR="002E25E3" w14:paraId="0F3FFF83" w14:textId="77777777" w:rsidTr="00345119">
        <w:tc>
          <w:tcPr>
            <w:tcW w:w="9576" w:type="dxa"/>
          </w:tcPr>
          <w:p w14:paraId="3CD33FB6" w14:textId="77777777" w:rsidR="00F26936" w:rsidRPr="00072B96" w:rsidRDefault="00F26936" w:rsidP="00D32C64">
            <w:pPr>
              <w:jc w:val="both"/>
            </w:pPr>
          </w:p>
        </w:tc>
      </w:tr>
    </w:tbl>
    <w:p w14:paraId="11FD275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7DAE8A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6FFB" w14:textId="77777777" w:rsidR="00000000" w:rsidRDefault="00E75CA3">
      <w:r>
        <w:separator/>
      </w:r>
    </w:p>
  </w:endnote>
  <w:endnote w:type="continuationSeparator" w:id="0">
    <w:p w14:paraId="051B888A" w14:textId="77777777" w:rsidR="00000000" w:rsidRDefault="00E7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E36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25E3" w14:paraId="07908441" w14:textId="77777777" w:rsidTr="009C1E9A">
      <w:trPr>
        <w:cantSplit/>
      </w:trPr>
      <w:tc>
        <w:tcPr>
          <w:tcW w:w="0" w:type="pct"/>
        </w:tcPr>
        <w:p w14:paraId="1E7DEB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D32B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36626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6A90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4740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25E3" w14:paraId="35FDBFB9" w14:textId="77777777" w:rsidTr="009C1E9A">
      <w:trPr>
        <w:cantSplit/>
      </w:trPr>
      <w:tc>
        <w:tcPr>
          <w:tcW w:w="0" w:type="pct"/>
        </w:tcPr>
        <w:p w14:paraId="4E2E71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D47EE9" w14:textId="05207C6C" w:rsidR="00EC379B" w:rsidRPr="009C1E9A" w:rsidRDefault="00E75CA3" w:rsidP="00F2693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20974</w:t>
          </w:r>
        </w:p>
      </w:tc>
      <w:tc>
        <w:tcPr>
          <w:tcW w:w="2453" w:type="pct"/>
        </w:tcPr>
        <w:p w14:paraId="0115A23D" w14:textId="249F84E9" w:rsidR="00EC379B" w:rsidRDefault="00E75C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3A8E">
            <w:t>21.109.2426</w:t>
          </w:r>
          <w:r>
            <w:fldChar w:fldCharType="end"/>
          </w:r>
        </w:p>
      </w:tc>
    </w:tr>
    <w:tr w:rsidR="002E25E3" w14:paraId="6B2C2E57" w14:textId="77777777" w:rsidTr="009C1E9A">
      <w:trPr>
        <w:cantSplit/>
      </w:trPr>
      <w:tc>
        <w:tcPr>
          <w:tcW w:w="0" w:type="pct"/>
        </w:tcPr>
        <w:p w14:paraId="62B0F3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7D2BC4" w14:textId="0993EBA9" w:rsidR="00EC379B" w:rsidRPr="009C1E9A" w:rsidRDefault="00E75C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16511</w:t>
          </w:r>
        </w:p>
      </w:tc>
      <w:tc>
        <w:tcPr>
          <w:tcW w:w="2453" w:type="pct"/>
        </w:tcPr>
        <w:p w14:paraId="1204BE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FE5C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25E3" w14:paraId="62C95D4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FAA5A9" w14:textId="61ED3EFF" w:rsidR="00EC379B" w:rsidRDefault="00E75C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2C6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B207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0D2FA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8C8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821F" w14:textId="77777777" w:rsidR="00000000" w:rsidRDefault="00E75CA3">
      <w:r>
        <w:separator/>
      </w:r>
    </w:p>
  </w:footnote>
  <w:footnote w:type="continuationSeparator" w:id="0">
    <w:p w14:paraId="7A492D0D" w14:textId="77777777" w:rsidR="00000000" w:rsidRDefault="00E7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C77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85C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040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0DAA"/>
    <w:multiLevelType w:val="hybridMultilevel"/>
    <w:tmpl w:val="D9DA1368"/>
    <w:lvl w:ilvl="0" w:tplc="A7469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87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ED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D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25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A4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06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0F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C3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B96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304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A8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594"/>
    <w:rsid w:val="00255EB6"/>
    <w:rsid w:val="002570D4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6F8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5E3"/>
    <w:rsid w:val="002E7DF9"/>
    <w:rsid w:val="002F097B"/>
    <w:rsid w:val="002F27DF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0DD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F58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19E"/>
    <w:rsid w:val="003B5BAD"/>
    <w:rsid w:val="003B66B6"/>
    <w:rsid w:val="003B7984"/>
    <w:rsid w:val="003B7AF6"/>
    <w:rsid w:val="003C019D"/>
    <w:rsid w:val="003C0411"/>
    <w:rsid w:val="003C1871"/>
    <w:rsid w:val="003C1C55"/>
    <w:rsid w:val="003C25EA"/>
    <w:rsid w:val="003C36FD"/>
    <w:rsid w:val="003C664C"/>
    <w:rsid w:val="003D2D6D"/>
    <w:rsid w:val="003D3A26"/>
    <w:rsid w:val="003D4CE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D4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09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A62"/>
    <w:rsid w:val="00662794"/>
    <w:rsid w:val="00662B77"/>
    <w:rsid w:val="00662D0E"/>
    <w:rsid w:val="00663265"/>
    <w:rsid w:val="0066345F"/>
    <w:rsid w:val="0066485B"/>
    <w:rsid w:val="006679B0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146"/>
    <w:rsid w:val="006979F8"/>
    <w:rsid w:val="006A038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97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7C2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838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796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6AC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61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6E8"/>
    <w:rsid w:val="00AC2E9A"/>
    <w:rsid w:val="00AC35A2"/>
    <w:rsid w:val="00AC5AAB"/>
    <w:rsid w:val="00AC5AEC"/>
    <w:rsid w:val="00AC5F28"/>
    <w:rsid w:val="00AC6900"/>
    <w:rsid w:val="00AD0DD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130"/>
    <w:rsid w:val="00AF48B4"/>
    <w:rsid w:val="00AF4923"/>
    <w:rsid w:val="00AF5CE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1FC"/>
    <w:rsid w:val="00B90999"/>
    <w:rsid w:val="00B917E3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210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087"/>
    <w:rsid w:val="00C676D6"/>
    <w:rsid w:val="00C72956"/>
    <w:rsid w:val="00C73045"/>
    <w:rsid w:val="00C73212"/>
    <w:rsid w:val="00C7354A"/>
    <w:rsid w:val="00C74379"/>
    <w:rsid w:val="00C744B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1B8"/>
    <w:rsid w:val="00D22160"/>
    <w:rsid w:val="00D22172"/>
    <w:rsid w:val="00D2301B"/>
    <w:rsid w:val="00D239EE"/>
    <w:rsid w:val="00D30534"/>
    <w:rsid w:val="00D32C64"/>
    <w:rsid w:val="00D335A6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1C3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E99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CA3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A94"/>
    <w:rsid w:val="00EE4EA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DB4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936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D0EDE1-E5C3-49A4-ADC4-F4AC4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3A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A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3426</Characters>
  <Application>Microsoft Office Word</Application>
  <DocSecurity>4</DocSecurity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HB02245 (Committee Report (Substituted))</vt:lpstr>
    </vt:vector>
  </TitlesOfParts>
  <Company>State of Texas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20974</dc:subject>
  <dc:creator>State of Texas</dc:creator>
  <dc:description>HB 2245 by Shine-(H)Ways &amp; Means (Substitute Document Number: 87R 16511)</dc:description>
  <cp:lastModifiedBy>Lauren Bustamante</cp:lastModifiedBy>
  <cp:revision>2</cp:revision>
  <cp:lastPrinted>2003-11-26T17:21:00Z</cp:lastPrinted>
  <dcterms:created xsi:type="dcterms:W3CDTF">2021-05-04T23:04:00Z</dcterms:created>
  <dcterms:modified xsi:type="dcterms:W3CDTF">2021-05-04T23:04:00Z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21.109.2426</vt:lpwstr>
  </property>
</Properties>
</file>