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000FC" w14:paraId="7669FA67" w14:textId="77777777" w:rsidTr="00345119">
        <w:tc>
          <w:tcPr>
            <w:tcW w:w="9576" w:type="dxa"/>
            <w:noWrap/>
          </w:tcPr>
          <w:p w14:paraId="77DD0DDE" w14:textId="77777777" w:rsidR="008423E4" w:rsidRPr="0022177D" w:rsidRDefault="001971AF" w:rsidP="004447B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AB82BE4" w14:textId="77777777" w:rsidR="008423E4" w:rsidRPr="0022177D" w:rsidRDefault="008423E4" w:rsidP="004447BA">
      <w:pPr>
        <w:jc w:val="center"/>
      </w:pPr>
    </w:p>
    <w:p w14:paraId="6678A803" w14:textId="77777777" w:rsidR="008423E4" w:rsidRPr="00B31F0E" w:rsidRDefault="008423E4" w:rsidP="004447BA"/>
    <w:p w14:paraId="3DD2614B" w14:textId="77777777" w:rsidR="008423E4" w:rsidRPr="00742794" w:rsidRDefault="008423E4" w:rsidP="004447B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000FC" w14:paraId="3FA131B3" w14:textId="77777777" w:rsidTr="00345119">
        <w:tc>
          <w:tcPr>
            <w:tcW w:w="9576" w:type="dxa"/>
          </w:tcPr>
          <w:p w14:paraId="4AEB4ACB" w14:textId="5D77391C" w:rsidR="008423E4" w:rsidRPr="00861995" w:rsidRDefault="001971AF" w:rsidP="004447BA">
            <w:pPr>
              <w:jc w:val="right"/>
            </w:pPr>
            <w:r>
              <w:t>H.B. 2247</w:t>
            </w:r>
          </w:p>
        </w:tc>
      </w:tr>
      <w:tr w:rsidR="009000FC" w14:paraId="63A236E3" w14:textId="77777777" w:rsidTr="00345119">
        <w:tc>
          <w:tcPr>
            <w:tcW w:w="9576" w:type="dxa"/>
          </w:tcPr>
          <w:p w14:paraId="25FC85B5" w14:textId="5DBC6553" w:rsidR="008423E4" w:rsidRPr="00861995" w:rsidRDefault="001971AF" w:rsidP="004447BA">
            <w:pPr>
              <w:jc w:val="right"/>
            </w:pPr>
            <w:r>
              <w:t xml:space="preserve">By: </w:t>
            </w:r>
            <w:r w:rsidR="00EB7F33">
              <w:t>Shine</w:t>
            </w:r>
          </w:p>
        </w:tc>
      </w:tr>
      <w:tr w:rsidR="009000FC" w14:paraId="36648CF9" w14:textId="77777777" w:rsidTr="00345119">
        <w:tc>
          <w:tcPr>
            <w:tcW w:w="9576" w:type="dxa"/>
          </w:tcPr>
          <w:p w14:paraId="61207CE7" w14:textId="7E60F7D4" w:rsidR="008423E4" w:rsidRPr="00861995" w:rsidRDefault="001971AF" w:rsidP="004447BA">
            <w:pPr>
              <w:jc w:val="right"/>
            </w:pPr>
            <w:r>
              <w:t>Business &amp; Industry</w:t>
            </w:r>
          </w:p>
        </w:tc>
      </w:tr>
      <w:tr w:rsidR="009000FC" w14:paraId="53991ABF" w14:textId="77777777" w:rsidTr="00345119">
        <w:tc>
          <w:tcPr>
            <w:tcW w:w="9576" w:type="dxa"/>
          </w:tcPr>
          <w:p w14:paraId="4A810B3E" w14:textId="3FDDCCB6" w:rsidR="008423E4" w:rsidRDefault="001971AF" w:rsidP="004447BA">
            <w:pPr>
              <w:jc w:val="right"/>
            </w:pPr>
            <w:r>
              <w:t>Committee Report (Unamended)</w:t>
            </w:r>
          </w:p>
        </w:tc>
      </w:tr>
    </w:tbl>
    <w:p w14:paraId="33A3E755" w14:textId="77777777" w:rsidR="008423E4" w:rsidRDefault="008423E4" w:rsidP="004447BA">
      <w:pPr>
        <w:tabs>
          <w:tab w:val="right" w:pos="9360"/>
        </w:tabs>
      </w:pPr>
    </w:p>
    <w:p w14:paraId="31EE6878" w14:textId="77777777" w:rsidR="008423E4" w:rsidRDefault="008423E4" w:rsidP="004447BA"/>
    <w:p w14:paraId="222A8D1A" w14:textId="77777777" w:rsidR="008423E4" w:rsidRDefault="008423E4" w:rsidP="004447B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000FC" w14:paraId="53CA3F3C" w14:textId="77777777" w:rsidTr="00345119">
        <w:tc>
          <w:tcPr>
            <w:tcW w:w="9576" w:type="dxa"/>
          </w:tcPr>
          <w:p w14:paraId="5573D930" w14:textId="77777777" w:rsidR="008423E4" w:rsidRPr="00A8133F" w:rsidRDefault="001971AF" w:rsidP="004447B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85FEFDC" w14:textId="77777777" w:rsidR="008423E4" w:rsidRDefault="008423E4" w:rsidP="004447BA"/>
          <w:p w14:paraId="7381BA90" w14:textId="7D6D1AFC" w:rsidR="008423E4" w:rsidRDefault="001971AF" w:rsidP="004447BA">
            <w:pPr>
              <w:pStyle w:val="Header"/>
              <w:jc w:val="both"/>
            </w:pPr>
            <w:r>
              <w:t xml:space="preserve">It has been suggested that the system of </w:t>
            </w:r>
            <w:r w:rsidR="00960171">
              <w:t>retroactive</w:t>
            </w:r>
            <w:r>
              <w:t xml:space="preserve"> decision-making and billing currently used</w:t>
            </w:r>
            <w:r w:rsidR="00960171">
              <w:t xml:space="preserve"> </w:t>
            </w:r>
            <w:r>
              <w:t xml:space="preserve">to manage workers' compensation for state employees </w:t>
            </w:r>
            <w:r w:rsidR="00A57D0B">
              <w:t>is</w:t>
            </w:r>
            <w:r>
              <w:t xml:space="preserve"> </w:t>
            </w:r>
            <w:r w:rsidR="00A57D0B">
              <w:t xml:space="preserve">overly </w:t>
            </w:r>
            <w:r>
              <w:t>burdensome</w:t>
            </w:r>
            <w:r w:rsidR="00960171">
              <w:t xml:space="preserve">, outdated, and incapable of processing medical payments </w:t>
            </w:r>
            <w:r w:rsidR="00F57668">
              <w:t>quickly enough</w:t>
            </w:r>
            <w:r>
              <w:t>.</w:t>
            </w:r>
            <w:r w:rsidR="00A57D0B">
              <w:t xml:space="preserve"> There have been calls to </w:t>
            </w:r>
            <w:r w:rsidR="00960171">
              <w:t>explore additional</w:t>
            </w:r>
            <w:r w:rsidR="00A57D0B">
              <w:t xml:space="preserve"> method</w:t>
            </w:r>
            <w:r w:rsidR="00960171">
              <w:t>s</w:t>
            </w:r>
            <w:r w:rsidR="00A57D0B">
              <w:t xml:space="preserve"> to manage workers' compensation for state employees that </w:t>
            </w:r>
            <w:r w:rsidR="00F57668">
              <w:t>may</w:t>
            </w:r>
            <w:r w:rsidR="00960171">
              <w:t xml:space="preserve"> prove to be more cost-effective and efficient in processing payments for medical services</w:t>
            </w:r>
            <w:r w:rsidR="00A57D0B">
              <w:t>.</w:t>
            </w:r>
            <w:r w:rsidR="00960171">
              <w:t xml:space="preserve"> </w:t>
            </w:r>
            <w:r>
              <w:t>H</w:t>
            </w:r>
            <w:r w:rsidR="00960171">
              <w:t>.</w:t>
            </w:r>
            <w:r>
              <w:t>B</w:t>
            </w:r>
            <w:r w:rsidR="00960171">
              <w:t>.</w:t>
            </w:r>
            <w:r>
              <w:t xml:space="preserve"> 2247 seeks to remedy this situation by requiring the State Office of Risk Management</w:t>
            </w:r>
            <w:r w:rsidR="00960171">
              <w:t xml:space="preserve"> </w:t>
            </w:r>
            <w:r>
              <w:t>to develop and implement</w:t>
            </w:r>
            <w:r w:rsidR="00960171">
              <w:t xml:space="preserve"> </w:t>
            </w:r>
            <w:r>
              <w:t>a program for processing applicable</w:t>
            </w:r>
            <w:r w:rsidR="00960171">
              <w:t xml:space="preserve"> </w:t>
            </w:r>
            <w:r>
              <w:t>payment auth</w:t>
            </w:r>
            <w:r>
              <w:t>orizations and medical bills in real time.</w:t>
            </w:r>
          </w:p>
          <w:p w14:paraId="52DF18E1" w14:textId="77777777" w:rsidR="008423E4" w:rsidRPr="00E26B13" w:rsidRDefault="008423E4" w:rsidP="004447BA">
            <w:pPr>
              <w:rPr>
                <w:b/>
              </w:rPr>
            </w:pPr>
          </w:p>
        </w:tc>
      </w:tr>
      <w:tr w:rsidR="009000FC" w14:paraId="0D22B1EF" w14:textId="77777777" w:rsidTr="00345119">
        <w:tc>
          <w:tcPr>
            <w:tcW w:w="9576" w:type="dxa"/>
          </w:tcPr>
          <w:p w14:paraId="10E8D64A" w14:textId="77777777" w:rsidR="0017725B" w:rsidRDefault="001971AF" w:rsidP="004447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F71812A" w14:textId="77777777" w:rsidR="0017725B" w:rsidRDefault="0017725B" w:rsidP="004447BA">
            <w:pPr>
              <w:rPr>
                <w:b/>
                <w:u w:val="single"/>
              </w:rPr>
            </w:pPr>
          </w:p>
          <w:p w14:paraId="50750F82" w14:textId="77777777" w:rsidR="00FA6F20" w:rsidRPr="00FA6F20" w:rsidRDefault="001971AF" w:rsidP="004447B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</w:t>
            </w:r>
            <w:r>
              <w:t xml:space="preserve"> eligibility of a person for community supervision, parole, or mandatory supervision.</w:t>
            </w:r>
          </w:p>
          <w:p w14:paraId="35E0D39B" w14:textId="77777777" w:rsidR="0017725B" w:rsidRPr="0017725B" w:rsidRDefault="0017725B" w:rsidP="004447BA">
            <w:pPr>
              <w:rPr>
                <w:b/>
                <w:u w:val="single"/>
              </w:rPr>
            </w:pPr>
          </w:p>
        </w:tc>
      </w:tr>
      <w:tr w:rsidR="009000FC" w14:paraId="18A4F9B2" w14:textId="77777777" w:rsidTr="00345119">
        <w:tc>
          <w:tcPr>
            <w:tcW w:w="9576" w:type="dxa"/>
          </w:tcPr>
          <w:p w14:paraId="0710E263" w14:textId="77777777" w:rsidR="008423E4" w:rsidRPr="00A8133F" w:rsidRDefault="001971AF" w:rsidP="004447B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DC9AB29" w14:textId="77777777" w:rsidR="008423E4" w:rsidRDefault="008423E4" w:rsidP="004447BA"/>
          <w:p w14:paraId="2CB80A67" w14:textId="77777777" w:rsidR="00FA6F20" w:rsidRDefault="001971AF" w:rsidP="004447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</w:t>
            </w:r>
            <w:r>
              <w:t xml:space="preserve"> or institution.</w:t>
            </w:r>
          </w:p>
          <w:p w14:paraId="2B73E856" w14:textId="77777777" w:rsidR="008423E4" w:rsidRPr="00E21FDC" w:rsidRDefault="008423E4" w:rsidP="004447BA">
            <w:pPr>
              <w:rPr>
                <w:b/>
              </w:rPr>
            </w:pPr>
          </w:p>
        </w:tc>
      </w:tr>
      <w:tr w:rsidR="009000FC" w14:paraId="402B39B8" w14:textId="77777777" w:rsidTr="00345119">
        <w:tc>
          <w:tcPr>
            <w:tcW w:w="9576" w:type="dxa"/>
          </w:tcPr>
          <w:p w14:paraId="0C0BDBF6" w14:textId="77777777" w:rsidR="008423E4" w:rsidRPr="00A8133F" w:rsidRDefault="001971AF" w:rsidP="004447B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E022BFB" w14:textId="77777777" w:rsidR="008423E4" w:rsidRDefault="008423E4" w:rsidP="004447BA"/>
          <w:p w14:paraId="1A178952" w14:textId="667288C5" w:rsidR="005437E8" w:rsidRDefault="001971AF" w:rsidP="004447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2247 amends the </w:t>
            </w:r>
            <w:r w:rsidRPr="00D63C6A">
              <w:t>Labor Code</w:t>
            </w:r>
            <w:r>
              <w:t xml:space="preserve"> to authorize the </w:t>
            </w:r>
            <w:r w:rsidRPr="00D63C6A">
              <w:t>State Office of Risk Management</w:t>
            </w:r>
            <w:r>
              <w:t xml:space="preserve"> </w:t>
            </w:r>
            <w:r w:rsidRPr="00D63C6A">
              <w:t>(SORM)</w:t>
            </w:r>
            <w:r>
              <w:t xml:space="preserve"> to </w:t>
            </w:r>
            <w:r w:rsidRPr="00D63C6A">
              <w:t>develop and implement a demonstration program</w:t>
            </w:r>
            <w:r w:rsidRPr="00D63C6A">
              <w:t xml:space="preserve"> for processing workers' compensation authorizations of payment for medical services and medical bills in real time if </w:t>
            </w:r>
            <w:r w:rsidR="00D6480E">
              <w:t xml:space="preserve">it </w:t>
            </w:r>
            <w:r w:rsidRPr="00D63C6A">
              <w:t>determines that the program would be cost-effective.</w:t>
            </w:r>
            <w:r>
              <w:t xml:space="preserve"> </w:t>
            </w:r>
            <w:r w:rsidR="009E2E04">
              <w:t>The bill requires SORM to study and determine whether the program would be cost-effective</w:t>
            </w:r>
            <w:r>
              <w:t xml:space="preserve"> </w:t>
            </w:r>
            <w:r w:rsidR="00D6480E">
              <w:t xml:space="preserve">not later than </w:t>
            </w:r>
            <w:r w:rsidR="00D6480E" w:rsidRPr="000E3389">
              <w:t>January 1, 2022</w:t>
            </w:r>
            <w:r w:rsidR="00D6480E">
              <w:t xml:space="preserve">, </w:t>
            </w:r>
            <w:r>
              <w:t xml:space="preserve">and, if </w:t>
            </w:r>
            <w:r w:rsidR="00D6480E">
              <w:t xml:space="preserve">it </w:t>
            </w:r>
            <w:r>
              <w:t>determine</w:t>
            </w:r>
            <w:r w:rsidR="00D6480E">
              <w:t>s</w:t>
            </w:r>
            <w:r>
              <w:t xml:space="preserve"> so,</w:t>
            </w:r>
            <w:r w:rsidR="009E2E04">
              <w:t xml:space="preserve"> to implement the program </w:t>
            </w:r>
            <w:r w:rsidR="00856923" w:rsidRPr="00434AC6">
              <w:t>fully</w:t>
            </w:r>
            <w:r w:rsidR="00856923">
              <w:t xml:space="preserve"> </w:t>
            </w:r>
            <w:r w:rsidR="00D6480E">
              <w:t>not later than</w:t>
            </w:r>
            <w:r w:rsidR="009E2E04">
              <w:t xml:space="preserve"> January 1, 2023. </w:t>
            </w:r>
          </w:p>
          <w:p w14:paraId="1D8281CC" w14:textId="77777777" w:rsidR="005437E8" w:rsidRDefault="005437E8" w:rsidP="004447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45E1E30" w14:textId="12316DB8" w:rsidR="00BD678B" w:rsidRDefault="001971AF" w:rsidP="004447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2247 requires </w:t>
            </w:r>
            <w:r w:rsidR="00766EFE">
              <w:t>the</w:t>
            </w:r>
            <w:r>
              <w:t xml:space="preserve"> demonstration</w:t>
            </w:r>
            <w:r w:rsidR="00D63C6A">
              <w:t xml:space="preserve"> program to </w:t>
            </w:r>
            <w:r w:rsidRPr="00BD678B">
              <w:t>include</w:t>
            </w:r>
            <w:r>
              <w:t xml:space="preserve"> the following:</w:t>
            </w:r>
            <w:r w:rsidRPr="00BD678B">
              <w:t xml:space="preserve"> </w:t>
            </w:r>
          </w:p>
          <w:p w14:paraId="59B907C1" w14:textId="77777777" w:rsidR="009C36CD" w:rsidRDefault="001971AF" w:rsidP="004447B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</w:t>
            </w:r>
            <w:r w:rsidRPr="00BD678B">
              <w:t xml:space="preserve">secure single platform, Internet-based portal for </w:t>
            </w:r>
            <w:r w:rsidRPr="00BD678B">
              <w:t>use by</w:t>
            </w:r>
            <w:r>
              <w:t xml:space="preserve"> SORM, </w:t>
            </w:r>
            <w:r w:rsidRPr="00BD678B">
              <w:t>state agencies, injured employees, and health care providers</w:t>
            </w:r>
            <w:r>
              <w:t>;</w:t>
            </w:r>
          </w:p>
          <w:p w14:paraId="2A6B5BBE" w14:textId="00C08FAA" w:rsidR="00BD678B" w:rsidRDefault="001971AF" w:rsidP="004447B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BD678B">
              <w:t xml:space="preserve">the ability to collect, input, and transmit </w:t>
            </w:r>
            <w:r w:rsidR="00D6480E">
              <w:t xml:space="preserve">specified </w:t>
            </w:r>
            <w:r w:rsidRPr="00BD678B">
              <w:t>administrative and clinical data</w:t>
            </w:r>
            <w:r>
              <w:t>;</w:t>
            </w:r>
          </w:p>
          <w:p w14:paraId="73AB5FB0" w14:textId="77777777" w:rsidR="00BD678B" w:rsidRDefault="001971AF" w:rsidP="004447B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BD678B">
              <w:t xml:space="preserve">an automated process to streamline requests for authorizations of payment for medical </w:t>
            </w:r>
            <w:r w:rsidRPr="00BD678B">
              <w:t>services and peer reviews at the point of care; and</w:t>
            </w:r>
          </w:p>
          <w:p w14:paraId="1082D0B6" w14:textId="77777777" w:rsidR="00BD678B" w:rsidRDefault="001971AF" w:rsidP="004447B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BD678B">
              <w:t>return-to-work best practices for workers' compensation claims, including complex case management.</w:t>
            </w:r>
          </w:p>
          <w:p w14:paraId="2D527563" w14:textId="51090C84" w:rsidR="00536DF9" w:rsidRDefault="001971AF" w:rsidP="004447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</w:t>
            </w:r>
            <w:r w:rsidR="00E229C8">
              <w:t xml:space="preserve">authorizes the </w:t>
            </w:r>
            <w:r w:rsidR="00E229C8" w:rsidRPr="00E229C8">
              <w:t>workers' compensation research and evaluation group</w:t>
            </w:r>
            <w:r w:rsidR="00E229C8">
              <w:t xml:space="preserve"> to assist SORM </w:t>
            </w:r>
            <w:r w:rsidR="00E229C8" w:rsidRPr="00E229C8">
              <w:t>in identifying and adopting measures for evaluating the</w:t>
            </w:r>
            <w:r w:rsidR="00C94E08">
              <w:t xml:space="preserve"> program. The program</w:t>
            </w:r>
            <w:r w:rsidR="009E2E04">
              <w:t>'s</w:t>
            </w:r>
            <w:r w:rsidR="00C94E08">
              <w:t xml:space="preserve"> evaluation period </w:t>
            </w:r>
            <w:r w:rsidR="009E2E04">
              <w:t xml:space="preserve">ends </w:t>
            </w:r>
            <w:r w:rsidR="00C94E08">
              <w:t xml:space="preserve">on </w:t>
            </w:r>
            <w:r w:rsidR="00C94E08" w:rsidRPr="00C94E08">
              <w:t>June 30, 2024.</w:t>
            </w:r>
            <w:r w:rsidR="000E3389">
              <w:t xml:space="preserve"> </w:t>
            </w:r>
          </w:p>
          <w:p w14:paraId="4E132D63" w14:textId="77777777" w:rsidR="00536DF9" w:rsidRDefault="00536DF9" w:rsidP="004447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21D6261" w14:textId="52242F10" w:rsidR="00766EFE" w:rsidRDefault="001971AF" w:rsidP="004447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2247</w:t>
            </w:r>
            <w:r w:rsidR="000E3389">
              <w:t xml:space="preserve"> requires SORM</w:t>
            </w:r>
            <w:r w:rsidR="00FF6F95">
              <w:t>, if it implements the</w:t>
            </w:r>
            <w:r>
              <w:t xml:space="preserve"> program,</w:t>
            </w:r>
            <w:r w:rsidR="000E3389">
              <w:t xml:space="preserve"> to </w:t>
            </w:r>
            <w:r w:rsidR="003A07A1">
              <w:t xml:space="preserve">provide </w:t>
            </w:r>
            <w:r w:rsidR="005437E8">
              <w:t xml:space="preserve">a report </w:t>
            </w:r>
            <w:r w:rsidR="003A07A1">
              <w:t xml:space="preserve">to </w:t>
            </w:r>
            <w:r w:rsidR="003A07A1" w:rsidRPr="003A07A1">
              <w:t>the risk management board</w:t>
            </w:r>
            <w:r w:rsidR="003A07A1">
              <w:t xml:space="preserve"> not later than </w:t>
            </w:r>
            <w:r w:rsidR="003A07A1" w:rsidRPr="003A07A1">
              <w:t>December 31, 2024,</w:t>
            </w:r>
            <w:r w:rsidR="003A07A1">
              <w:t xml:space="preserve"> that </w:t>
            </w:r>
            <w:r>
              <w:t xml:space="preserve">does </w:t>
            </w:r>
            <w:r>
              <w:t>the following:</w:t>
            </w:r>
          </w:p>
          <w:p w14:paraId="576A06E4" w14:textId="438551EF" w:rsidR="00766EFE" w:rsidRDefault="001971AF" w:rsidP="004447B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3A07A1">
              <w:t>evaluates</w:t>
            </w:r>
            <w:r>
              <w:t xml:space="preserve"> the program, including any effects of the program on administrative cost savings;</w:t>
            </w:r>
          </w:p>
          <w:p w14:paraId="7DE09594" w14:textId="1461683E" w:rsidR="00766EFE" w:rsidRDefault="001971AF" w:rsidP="004447B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recommends </w:t>
            </w:r>
            <w:r w:rsidRPr="003A07A1">
              <w:t xml:space="preserve">whether to use the </w:t>
            </w:r>
            <w:r>
              <w:t xml:space="preserve">automated </w:t>
            </w:r>
            <w:r w:rsidRPr="003A07A1">
              <w:t>process implemented under the program on a permanent basis</w:t>
            </w:r>
            <w:r>
              <w:t>; and</w:t>
            </w:r>
          </w:p>
          <w:p w14:paraId="769932BF" w14:textId="4C90B29F" w:rsidR="00766EFE" w:rsidRDefault="001971AF" w:rsidP="004447B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if SORM determines the program did not achiev</w:t>
            </w:r>
            <w:r>
              <w:t>e cost savings,</w:t>
            </w:r>
            <w:r w:rsidR="003A07A1">
              <w:t xml:space="preserve"> </w:t>
            </w:r>
            <w:r w:rsidR="003A07A1" w:rsidRPr="003A07A1">
              <w:t xml:space="preserve">includes the reasons </w:t>
            </w:r>
            <w:r>
              <w:t xml:space="preserve">why </w:t>
            </w:r>
            <w:r w:rsidR="003A07A1">
              <w:t xml:space="preserve">and recommendations for </w:t>
            </w:r>
            <w:r w:rsidR="003A07A1" w:rsidRPr="003A07A1">
              <w:t>proposed legislation to develop a cost-effective system</w:t>
            </w:r>
            <w:r w:rsidR="00390A86">
              <w:t xml:space="preserve"> for real-time processing of the authorizations of payment</w:t>
            </w:r>
            <w:r>
              <w:t xml:space="preserve"> for </w:t>
            </w:r>
            <w:r w:rsidR="00536DF9">
              <w:t>medical services and medical</w:t>
            </w:r>
            <w:r>
              <w:t xml:space="preserve"> bills</w:t>
            </w:r>
            <w:r w:rsidR="003A07A1">
              <w:t>.</w:t>
            </w:r>
          </w:p>
          <w:p w14:paraId="13CD2351" w14:textId="177B7737" w:rsidR="002F4382" w:rsidRPr="009C36CD" w:rsidRDefault="001971AF" w:rsidP="004447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authorizes the board to adop</w:t>
            </w:r>
            <w:r>
              <w:t xml:space="preserve">t and use on a permanent basis a process implemented under the program if the report indicates that the process achieves </w:t>
            </w:r>
            <w:r w:rsidRPr="002F4382">
              <w:t>administrative cost savings</w:t>
            </w:r>
            <w:r>
              <w:t xml:space="preserve">. The bill's provisions expire </w:t>
            </w:r>
            <w:r w:rsidRPr="002F4382">
              <w:t>September 1, 2025.</w:t>
            </w:r>
          </w:p>
          <w:p w14:paraId="3FD09685" w14:textId="77777777" w:rsidR="008423E4" w:rsidRPr="00835628" w:rsidRDefault="008423E4" w:rsidP="004447BA">
            <w:pPr>
              <w:rPr>
                <w:b/>
              </w:rPr>
            </w:pPr>
          </w:p>
        </w:tc>
      </w:tr>
      <w:tr w:rsidR="009000FC" w14:paraId="71D1E5A4" w14:textId="77777777" w:rsidTr="00345119">
        <w:tc>
          <w:tcPr>
            <w:tcW w:w="9576" w:type="dxa"/>
          </w:tcPr>
          <w:p w14:paraId="555213AC" w14:textId="77777777" w:rsidR="008423E4" w:rsidRPr="00A8133F" w:rsidRDefault="001971AF" w:rsidP="004447B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8C9806E" w14:textId="77777777" w:rsidR="008423E4" w:rsidRDefault="008423E4" w:rsidP="004447BA"/>
          <w:p w14:paraId="7550D8B8" w14:textId="77777777" w:rsidR="008423E4" w:rsidRPr="003624F2" w:rsidRDefault="001971AF" w:rsidP="004447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</w:t>
            </w:r>
            <w:r>
              <w:t>receive the necessary vote, September 1, 2021.</w:t>
            </w:r>
          </w:p>
          <w:p w14:paraId="3997061A" w14:textId="77777777" w:rsidR="008423E4" w:rsidRPr="00233FDB" w:rsidRDefault="008423E4" w:rsidP="004447BA">
            <w:pPr>
              <w:rPr>
                <w:b/>
              </w:rPr>
            </w:pPr>
          </w:p>
        </w:tc>
      </w:tr>
    </w:tbl>
    <w:p w14:paraId="363F8F58" w14:textId="77777777" w:rsidR="004108C3" w:rsidRPr="008423E4" w:rsidRDefault="004108C3" w:rsidP="004447B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E1B25" w14:textId="77777777" w:rsidR="00000000" w:rsidRDefault="001971AF">
      <w:r>
        <w:separator/>
      </w:r>
    </w:p>
  </w:endnote>
  <w:endnote w:type="continuationSeparator" w:id="0">
    <w:p w14:paraId="5F3689FB" w14:textId="77777777" w:rsidR="00000000" w:rsidRDefault="0019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1DD9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000FC" w14:paraId="5ADD8519" w14:textId="77777777" w:rsidTr="009C1E9A">
      <w:trPr>
        <w:cantSplit/>
      </w:trPr>
      <w:tc>
        <w:tcPr>
          <w:tcW w:w="0" w:type="pct"/>
        </w:tcPr>
        <w:p w14:paraId="4DEB4A4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68C8FE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97A820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BDAA42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DD837B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000FC" w14:paraId="35113199" w14:textId="77777777" w:rsidTr="009C1E9A">
      <w:trPr>
        <w:cantSplit/>
      </w:trPr>
      <w:tc>
        <w:tcPr>
          <w:tcW w:w="0" w:type="pct"/>
        </w:tcPr>
        <w:p w14:paraId="7F47FD5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7CE52EA" w14:textId="01AC8426" w:rsidR="00EC379B" w:rsidRPr="009C1E9A" w:rsidRDefault="001971A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19090</w:t>
          </w:r>
        </w:p>
      </w:tc>
      <w:tc>
        <w:tcPr>
          <w:tcW w:w="2453" w:type="pct"/>
        </w:tcPr>
        <w:p w14:paraId="114F94EE" w14:textId="13ED90B5" w:rsidR="00EC379B" w:rsidRDefault="001971A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94F1D">
            <w:t>21.100.103</w:t>
          </w:r>
          <w:r>
            <w:fldChar w:fldCharType="end"/>
          </w:r>
        </w:p>
      </w:tc>
    </w:tr>
    <w:tr w:rsidR="009000FC" w14:paraId="0C4E136C" w14:textId="77777777" w:rsidTr="009C1E9A">
      <w:trPr>
        <w:cantSplit/>
      </w:trPr>
      <w:tc>
        <w:tcPr>
          <w:tcW w:w="0" w:type="pct"/>
        </w:tcPr>
        <w:p w14:paraId="6FA88AD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FE2D576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C23DFD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74E277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000FC" w14:paraId="01CE27D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A4BD972" w14:textId="71F903BC" w:rsidR="00EC379B" w:rsidRDefault="001971A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94F1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AE1C1A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CDA26B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3B9A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0C8D5" w14:textId="77777777" w:rsidR="00000000" w:rsidRDefault="001971AF">
      <w:r>
        <w:separator/>
      </w:r>
    </w:p>
  </w:footnote>
  <w:footnote w:type="continuationSeparator" w:id="0">
    <w:p w14:paraId="1EA417D6" w14:textId="77777777" w:rsidR="00000000" w:rsidRDefault="0019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9291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F160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E53DA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953A3"/>
    <w:multiLevelType w:val="hybridMultilevel"/>
    <w:tmpl w:val="A41095FC"/>
    <w:lvl w:ilvl="0" w:tplc="867CED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26D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9E4D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AC89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BEE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4AB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A1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CC0E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1EAC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E54CC"/>
    <w:multiLevelType w:val="hybridMultilevel"/>
    <w:tmpl w:val="99B42820"/>
    <w:lvl w:ilvl="0" w:tplc="D01C5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F89A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1218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A01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61D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3A31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FCAA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CC7F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2E83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6A"/>
    <w:rsid w:val="00000A70"/>
    <w:rsid w:val="000032B8"/>
    <w:rsid w:val="00003B06"/>
    <w:rsid w:val="000054B9"/>
    <w:rsid w:val="00007461"/>
    <w:rsid w:val="0001117E"/>
    <w:rsid w:val="0001125F"/>
    <w:rsid w:val="000125F8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058D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3389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AA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971AF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382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0A86"/>
    <w:rsid w:val="00392DA1"/>
    <w:rsid w:val="00393718"/>
    <w:rsid w:val="003A0296"/>
    <w:rsid w:val="003A07A1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4AC6"/>
    <w:rsid w:val="004350F3"/>
    <w:rsid w:val="00436980"/>
    <w:rsid w:val="00441016"/>
    <w:rsid w:val="00441F2F"/>
    <w:rsid w:val="0044228B"/>
    <w:rsid w:val="004447BA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4251"/>
    <w:rsid w:val="00492211"/>
    <w:rsid w:val="00492325"/>
    <w:rsid w:val="00492A6D"/>
    <w:rsid w:val="00494303"/>
    <w:rsid w:val="00494F1D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36DF9"/>
    <w:rsid w:val="00541B98"/>
    <w:rsid w:val="00543374"/>
    <w:rsid w:val="005437E8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19F"/>
    <w:rsid w:val="005878B7"/>
    <w:rsid w:val="005929D6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B6B37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4AB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5AE2"/>
    <w:rsid w:val="007509BE"/>
    <w:rsid w:val="0075287B"/>
    <w:rsid w:val="00755C7B"/>
    <w:rsid w:val="00764786"/>
    <w:rsid w:val="00766E12"/>
    <w:rsid w:val="00766EFE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E6E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692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8F6555"/>
    <w:rsid w:val="009000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0171"/>
    <w:rsid w:val="009603C5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2E04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57D0B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678B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4E08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1D28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3C6A"/>
    <w:rsid w:val="00D6480E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005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29C8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7F3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1764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7668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A6F20"/>
    <w:rsid w:val="00FB16CD"/>
    <w:rsid w:val="00FB3AA3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6F95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66813D-B0B7-41BC-8CBF-7ABD2A81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63C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3C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3C6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3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3C6A"/>
    <w:rPr>
      <w:b/>
      <w:bCs/>
    </w:rPr>
  </w:style>
  <w:style w:type="paragraph" w:styleId="Revision">
    <w:name w:val="Revision"/>
    <w:hidden/>
    <w:uiPriority w:val="99"/>
    <w:semiHidden/>
    <w:rsid w:val="00766E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2948</Characters>
  <Application>Microsoft Office Word</Application>
  <DocSecurity>4</DocSecurity>
  <Lines>72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HB02247 (Committee Report (Unamended))</vt:lpstr>
    </vt:vector>
  </TitlesOfParts>
  <Company>State of Texas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19090</dc:subject>
  <dc:creator>State of Texas</dc:creator>
  <dc:description>HB 2247 by Shine-(H)Business &amp; Industry</dc:description>
  <cp:lastModifiedBy>Emma Bodisch</cp:lastModifiedBy>
  <cp:revision>2</cp:revision>
  <cp:lastPrinted>2003-11-26T17:21:00Z</cp:lastPrinted>
  <dcterms:created xsi:type="dcterms:W3CDTF">2021-04-14T23:54:00Z</dcterms:created>
  <dcterms:modified xsi:type="dcterms:W3CDTF">2021-04-14T23:54:00Z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21.100.103</vt:lpwstr>
  </property>
</Properties>
</file>