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25980" w14:paraId="20E436A6" w14:textId="77777777" w:rsidTr="00345119">
        <w:tc>
          <w:tcPr>
            <w:tcW w:w="9576" w:type="dxa"/>
            <w:noWrap/>
          </w:tcPr>
          <w:p w14:paraId="494CC311" w14:textId="77777777" w:rsidR="008423E4" w:rsidRPr="0022177D" w:rsidRDefault="00D93191" w:rsidP="00842B9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E113F1D" w14:textId="77777777" w:rsidR="008423E4" w:rsidRPr="0022177D" w:rsidRDefault="008423E4" w:rsidP="00842B9C">
      <w:pPr>
        <w:jc w:val="center"/>
      </w:pPr>
    </w:p>
    <w:p w14:paraId="26AF404F" w14:textId="77777777" w:rsidR="008423E4" w:rsidRPr="00B31F0E" w:rsidRDefault="008423E4" w:rsidP="00842B9C"/>
    <w:p w14:paraId="2C42EB72" w14:textId="77777777" w:rsidR="008423E4" w:rsidRPr="00742794" w:rsidRDefault="008423E4" w:rsidP="00842B9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5980" w14:paraId="603B2AA9" w14:textId="77777777" w:rsidTr="00345119">
        <w:tc>
          <w:tcPr>
            <w:tcW w:w="9576" w:type="dxa"/>
          </w:tcPr>
          <w:p w14:paraId="1E4F389A" w14:textId="64EEDE06" w:rsidR="008423E4" w:rsidRPr="00861995" w:rsidRDefault="00D93191" w:rsidP="00842B9C">
            <w:pPr>
              <w:jc w:val="right"/>
            </w:pPr>
            <w:r>
              <w:t>C.S.H.B. 2258</w:t>
            </w:r>
          </w:p>
        </w:tc>
      </w:tr>
      <w:tr w:rsidR="00225980" w14:paraId="35490045" w14:textId="77777777" w:rsidTr="00345119">
        <w:tc>
          <w:tcPr>
            <w:tcW w:w="9576" w:type="dxa"/>
          </w:tcPr>
          <w:p w14:paraId="58E07082" w14:textId="27DFCA26" w:rsidR="008423E4" w:rsidRPr="00861995" w:rsidRDefault="00D93191" w:rsidP="00945848">
            <w:pPr>
              <w:jc w:val="right"/>
            </w:pPr>
            <w:r>
              <w:t xml:space="preserve">By: </w:t>
            </w:r>
            <w:r w:rsidR="00945848">
              <w:t>Guerra</w:t>
            </w:r>
          </w:p>
        </w:tc>
      </w:tr>
      <w:tr w:rsidR="00225980" w14:paraId="1FFB9B39" w14:textId="77777777" w:rsidTr="00345119">
        <w:tc>
          <w:tcPr>
            <w:tcW w:w="9576" w:type="dxa"/>
          </w:tcPr>
          <w:p w14:paraId="4C9C3720" w14:textId="51065B0D" w:rsidR="008423E4" w:rsidRPr="00861995" w:rsidRDefault="00D93191" w:rsidP="00842B9C">
            <w:pPr>
              <w:jc w:val="right"/>
            </w:pPr>
            <w:r>
              <w:t>Public Education</w:t>
            </w:r>
          </w:p>
        </w:tc>
      </w:tr>
      <w:tr w:rsidR="00225980" w14:paraId="1C6570F7" w14:textId="77777777" w:rsidTr="00345119">
        <w:tc>
          <w:tcPr>
            <w:tcW w:w="9576" w:type="dxa"/>
          </w:tcPr>
          <w:p w14:paraId="127E8FF5" w14:textId="37AA2129" w:rsidR="008423E4" w:rsidRDefault="00D93191" w:rsidP="00842B9C">
            <w:pPr>
              <w:jc w:val="right"/>
            </w:pPr>
            <w:r>
              <w:t>Committee Report (Substituted)</w:t>
            </w:r>
          </w:p>
        </w:tc>
      </w:tr>
    </w:tbl>
    <w:p w14:paraId="7AAB67BA" w14:textId="77777777" w:rsidR="008423E4" w:rsidRDefault="008423E4" w:rsidP="00842B9C">
      <w:pPr>
        <w:tabs>
          <w:tab w:val="right" w:pos="9360"/>
        </w:tabs>
      </w:pPr>
    </w:p>
    <w:p w14:paraId="1CB74D06" w14:textId="77777777" w:rsidR="008423E4" w:rsidRDefault="008423E4" w:rsidP="00842B9C"/>
    <w:p w14:paraId="3F129BCC" w14:textId="77777777" w:rsidR="008423E4" w:rsidRDefault="008423E4" w:rsidP="00842B9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25980" w14:paraId="433075CE" w14:textId="77777777" w:rsidTr="00345119">
        <w:tc>
          <w:tcPr>
            <w:tcW w:w="9576" w:type="dxa"/>
          </w:tcPr>
          <w:p w14:paraId="47EFB8ED" w14:textId="77777777" w:rsidR="008423E4" w:rsidRPr="00A8133F" w:rsidRDefault="00D93191" w:rsidP="00267A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963171" w14:textId="77777777" w:rsidR="008423E4" w:rsidRDefault="008423E4" w:rsidP="00267A06"/>
          <w:p w14:paraId="3C2CFD1F" w14:textId="3554709F" w:rsidR="008423E4" w:rsidRDefault="00D93191" w:rsidP="00267A06">
            <w:pPr>
              <w:pStyle w:val="Header"/>
              <w:jc w:val="both"/>
            </w:pPr>
            <w:r>
              <w:t xml:space="preserve">It has been noted that while </w:t>
            </w:r>
            <w:r w:rsidR="00CA7A75">
              <w:t xml:space="preserve">Texas has </w:t>
            </w:r>
            <w:r>
              <w:t xml:space="preserve">one of the </w:t>
            </w:r>
            <w:r w:rsidR="00CA7A75">
              <w:t>largest Spanish-speaking population</w:t>
            </w:r>
            <w:r>
              <w:t xml:space="preserve">s in the country, the state is currently </w:t>
            </w:r>
            <w:r>
              <w:t>experiencing</w:t>
            </w:r>
            <w:r w:rsidR="00CA7A75">
              <w:t xml:space="preserve"> a shortage of qualified bilingual educators. </w:t>
            </w:r>
            <w:r>
              <w:t xml:space="preserve">Reports indicate that roughly one million </w:t>
            </w:r>
            <w:r w:rsidR="00CA7A75">
              <w:t xml:space="preserve">children in Texas schools are designated English learners or emergent bilingual students. Though these </w:t>
            </w:r>
            <w:r w:rsidR="0087423A">
              <w:t xml:space="preserve">students </w:t>
            </w:r>
            <w:r w:rsidR="00CA7A75">
              <w:t xml:space="preserve">represent roughly </w:t>
            </w:r>
            <w:r w:rsidR="006879D4">
              <w:t>one-</w:t>
            </w:r>
            <w:r>
              <w:t>fifth</w:t>
            </w:r>
            <w:r w:rsidR="00CA7A75">
              <w:t xml:space="preserve"> of all Texas students, </w:t>
            </w:r>
            <w:r>
              <w:t xml:space="preserve">the </w:t>
            </w:r>
            <w:r w:rsidR="00CA7A75">
              <w:t xml:space="preserve">shortage of qualified bilingual educators </w:t>
            </w:r>
            <w:r>
              <w:t xml:space="preserve">looms large, especially since </w:t>
            </w:r>
            <w:r w:rsidR="005224C0">
              <w:t>only a minority</w:t>
            </w:r>
            <w:r>
              <w:t xml:space="preserve"> </w:t>
            </w:r>
            <w:r w:rsidR="00CA7A75">
              <w:t xml:space="preserve">of English language learners are currently enrolled in a dual language program. </w:t>
            </w:r>
            <w:r>
              <w:t xml:space="preserve">There have been calls for Texas to </w:t>
            </w:r>
            <w:r w:rsidR="00CA7A75">
              <w:t xml:space="preserve">be </w:t>
            </w:r>
            <w:r w:rsidR="005224C0">
              <w:t xml:space="preserve">more </w:t>
            </w:r>
            <w:r w:rsidR="00CA7A75">
              <w:t>proactive in producing bilingual educators and students</w:t>
            </w:r>
            <w:r>
              <w:t xml:space="preserve"> given its </w:t>
            </w:r>
            <w:r w:rsidR="00CA179C">
              <w:t>border location</w:t>
            </w:r>
            <w:r>
              <w:t xml:space="preserve"> </w:t>
            </w:r>
            <w:r w:rsidR="0087423A">
              <w:t>and large Spanish-speaking population. C.S.H.B. 2258 seeks to address this issue by providing for the development of a strategic plan for the improvement and expansion of high-quality bilingual education in Texas.</w:t>
            </w:r>
          </w:p>
          <w:p w14:paraId="24F76D7F" w14:textId="77777777" w:rsidR="008423E4" w:rsidRPr="00E26B13" w:rsidRDefault="008423E4" w:rsidP="00267A06">
            <w:pPr>
              <w:rPr>
                <w:b/>
              </w:rPr>
            </w:pPr>
          </w:p>
        </w:tc>
      </w:tr>
      <w:tr w:rsidR="00225980" w14:paraId="37E95DE8" w14:textId="77777777" w:rsidTr="00345119">
        <w:tc>
          <w:tcPr>
            <w:tcW w:w="9576" w:type="dxa"/>
          </w:tcPr>
          <w:p w14:paraId="3524436B" w14:textId="77777777" w:rsidR="0017725B" w:rsidRDefault="00D93191" w:rsidP="00267A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B3B22B5" w14:textId="77777777" w:rsidR="0017725B" w:rsidRDefault="0017725B" w:rsidP="00267A06">
            <w:pPr>
              <w:rPr>
                <w:b/>
                <w:u w:val="single"/>
              </w:rPr>
            </w:pPr>
          </w:p>
          <w:p w14:paraId="36AF547E" w14:textId="77777777" w:rsidR="00AB65C0" w:rsidRPr="00AB65C0" w:rsidRDefault="00D93191" w:rsidP="00267A0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14:paraId="7F493E56" w14:textId="77777777" w:rsidR="0017725B" w:rsidRPr="0017725B" w:rsidRDefault="0017725B" w:rsidP="00267A06">
            <w:pPr>
              <w:rPr>
                <w:b/>
                <w:u w:val="single"/>
              </w:rPr>
            </w:pPr>
          </w:p>
        </w:tc>
      </w:tr>
      <w:tr w:rsidR="00225980" w14:paraId="207AE379" w14:textId="77777777" w:rsidTr="00345119">
        <w:tc>
          <w:tcPr>
            <w:tcW w:w="9576" w:type="dxa"/>
          </w:tcPr>
          <w:p w14:paraId="0EC46015" w14:textId="77777777" w:rsidR="008423E4" w:rsidRPr="00A8133F" w:rsidRDefault="00D93191" w:rsidP="00267A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EA6AE18" w14:textId="77777777" w:rsidR="008423E4" w:rsidRDefault="008423E4" w:rsidP="00267A06"/>
          <w:p w14:paraId="7B71857D" w14:textId="77777777" w:rsidR="00AB65C0" w:rsidRDefault="00D93191" w:rsidP="00267A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D1B0425" w14:textId="77777777" w:rsidR="008423E4" w:rsidRPr="00E21FDC" w:rsidRDefault="008423E4" w:rsidP="00267A06">
            <w:pPr>
              <w:rPr>
                <w:b/>
              </w:rPr>
            </w:pPr>
          </w:p>
        </w:tc>
      </w:tr>
      <w:tr w:rsidR="00225980" w14:paraId="137185EE" w14:textId="77777777" w:rsidTr="00345119">
        <w:tc>
          <w:tcPr>
            <w:tcW w:w="9576" w:type="dxa"/>
          </w:tcPr>
          <w:p w14:paraId="25755F3E" w14:textId="77777777" w:rsidR="008423E4" w:rsidRPr="00A8133F" w:rsidRDefault="00D93191" w:rsidP="00267A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D38F8A" w14:textId="77777777" w:rsidR="008423E4" w:rsidRDefault="008423E4" w:rsidP="00267A06"/>
          <w:p w14:paraId="29365596" w14:textId="77777777" w:rsidR="009C36CD" w:rsidRDefault="00D93191" w:rsidP="00267A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2258 amends the Education Code to require the Texas Education Agency</w:t>
            </w:r>
            <w:r w:rsidR="00CA7A75">
              <w:t xml:space="preserve"> (TEA)</w:t>
            </w:r>
            <w:r>
              <w:t>, in collaboration with the Texas Higher Education Coordinating Board and the Texas Workforce Commission, to develop a strategic plan that sets tangible goals and establishe</w:t>
            </w:r>
            <w:r>
              <w:t>s timelines to do the following:</w:t>
            </w:r>
          </w:p>
          <w:p w14:paraId="247E14AA" w14:textId="77777777" w:rsidR="00AB65C0" w:rsidRDefault="00D93191" w:rsidP="00267A0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increase the number of educators certified in bilingual education instruction;</w:t>
            </w:r>
          </w:p>
          <w:p w14:paraId="13EB87F1" w14:textId="77777777" w:rsidR="00AB65C0" w:rsidRDefault="00D93191" w:rsidP="00267A0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B65C0">
              <w:t>increase the number of dual language immersion/one-way and two-way program models used in public schools;</w:t>
            </w:r>
          </w:p>
          <w:p w14:paraId="4DCAD548" w14:textId="1F454D27" w:rsidR="00AB65C0" w:rsidRDefault="00D93191" w:rsidP="00267A0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B65C0">
              <w:t xml:space="preserve">educate families and </w:t>
            </w:r>
            <w:r w:rsidR="007D2F6E">
              <w:t xml:space="preserve">public </w:t>
            </w:r>
            <w:r w:rsidRPr="00AB65C0">
              <w:t>school dis</w:t>
            </w:r>
            <w:r w:rsidRPr="00AB65C0">
              <w:t>trict employees regarding the importance of bilingual education in early childhood;</w:t>
            </w:r>
          </w:p>
          <w:p w14:paraId="796515DA" w14:textId="77777777" w:rsidR="00CA7A75" w:rsidRDefault="00D93191" w:rsidP="00267A0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A7A75">
              <w:t>adopt a uniform process for</w:t>
            </w:r>
            <w:r>
              <w:t xml:space="preserve"> the following:</w:t>
            </w:r>
          </w:p>
          <w:p w14:paraId="36043F36" w14:textId="7FF91515" w:rsidR="00CA7A75" w:rsidRDefault="00D93191" w:rsidP="00267A06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identifying students </w:t>
            </w:r>
            <w:r w:rsidR="007D2F6E">
              <w:t xml:space="preserve">of limited English proficiency </w:t>
            </w:r>
            <w:r>
              <w:t>in prekindergarten through 12th grade;</w:t>
            </w:r>
          </w:p>
          <w:p w14:paraId="5BF9CD90" w14:textId="77777777" w:rsidR="00CA7A75" w:rsidRDefault="00D93191" w:rsidP="00267A06">
            <w:pPr>
              <w:pStyle w:val="Header"/>
              <w:numPr>
                <w:ilvl w:val="1"/>
                <w:numId w:val="1"/>
              </w:numPr>
              <w:jc w:val="both"/>
            </w:pPr>
            <w:r>
              <w:t>monitoring the bilingual learning of s</w:t>
            </w:r>
            <w:r>
              <w:t>tudents in prekindergarten through 12th grade; and</w:t>
            </w:r>
          </w:p>
          <w:p w14:paraId="194FEA14" w14:textId="77777777" w:rsidR="00CA7A75" w:rsidRDefault="00D93191" w:rsidP="00267A0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collecting data regarding that identification and monitoring; and</w:t>
            </w:r>
          </w:p>
          <w:p w14:paraId="29D3AFCC" w14:textId="77777777" w:rsidR="00CA7A75" w:rsidRDefault="00D93191" w:rsidP="00267A0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CA7A75">
              <w:t>ncrease the number of bilingual and multilingual high school graduates.</w:t>
            </w:r>
          </w:p>
          <w:p w14:paraId="45FBDEB5" w14:textId="77777777" w:rsidR="00A52276" w:rsidRDefault="00A52276" w:rsidP="00267A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B3D327" w14:textId="77777777" w:rsidR="006D5428" w:rsidRDefault="00D93191" w:rsidP="00267A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2258 sets out the following provisions relating to the </w:t>
            </w:r>
            <w:r>
              <w:t>development of the strategic plan:</w:t>
            </w:r>
          </w:p>
          <w:p w14:paraId="7D9CBB51" w14:textId="28BDB914" w:rsidR="006D5428" w:rsidRDefault="00D93191" w:rsidP="00267A0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TEA to consult with representatives of certain</w:t>
            </w:r>
            <w:r w:rsidR="00CA7A75">
              <w:t xml:space="preserve"> </w:t>
            </w:r>
            <w:r>
              <w:t xml:space="preserve">stakeholders </w:t>
            </w:r>
            <w:r w:rsidR="00B96B86">
              <w:t xml:space="preserve">and authorizes TEA to collaborate with representatives of certain entities </w:t>
            </w:r>
            <w:r>
              <w:t>in developing the plan;</w:t>
            </w:r>
            <w:r w:rsidR="00B96B86">
              <w:t xml:space="preserve"> and</w:t>
            </w:r>
          </w:p>
          <w:p w14:paraId="4D7F21B3" w14:textId="77777777" w:rsidR="00B96B86" w:rsidRDefault="00D93191" w:rsidP="00267A0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</w:t>
            </w:r>
            <w:r w:rsidR="006D5428">
              <w:t>TEA to study the use of the Bilingual Target Language Proficiency Test to certify educators in bilingual education instruction</w:t>
            </w:r>
            <w:r>
              <w:t xml:space="preserve"> and</w:t>
            </w:r>
            <w:r w:rsidR="006D5428">
              <w:t xml:space="preserve"> to make certain related determinations and recommendations</w:t>
            </w:r>
            <w:r>
              <w:t>.</w:t>
            </w:r>
          </w:p>
          <w:p w14:paraId="390BF73B" w14:textId="169FB995" w:rsidR="00CA7A75" w:rsidRPr="009C36CD" w:rsidRDefault="00D93191" w:rsidP="00267A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TEA to submit </w:t>
            </w:r>
            <w:r w:rsidRPr="00CA7A75">
              <w:t>the plan to the governor, the lieutenant governor, the speaker of the hou</w:t>
            </w:r>
            <w:r w:rsidRPr="00CA7A75">
              <w:t xml:space="preserve">se of representatives, and each member of the </w:t>
            </w:r>
            <w:r w:rsidR="00A52276">
              <w:t xml:space="preserve">legislative </w:t>
            </w:r>
            <w:r w:rsidRPr="00CA7A75">
              <w:t xml:space="preserve">standing committees </w:t>
            </w:r>
            <w:r w:rsidR="00A52276">
              <w:t>with appropriate</w:t>
            </w:r>
            <w:r w:rsidRPr="00CA7A75">
              <w:t xml:space="preserve"> jurisdiction not later than December 1, 2022</w:t>
            </w:r>
            <w:r>
              <w:t>. The bill</w:t>
            </w:r>
            <w:r w:rsidR="00A52276">
              <w:t>'s provisions relating to the study</w:t>
            </w:r>
            <w:r>
              <w:t xml:space="preserve"> expire January 1, 2023.</w:t>
            </w:r>
          </w:p>
          <w:p w14:paraId="1B186F46" w14:textId="77777777" w:rsidR="008423E4" w:rsidRPr="00835628" w:rsidRDefault="008423E4" w:rsidP="00267A06">
            <w:pPr>
              <w:rPr>
                <w:b/>
              </w:rPr>
            </w:pPr>
          </w:p>
        </w:tc>
      </w:tr>
      <w:tr w:rsidR="00225980" w14:paraId="6CCD6121" w14:textId="77777777" w:rsidTr="00345119">
        <w:tc>
          <w:tcPr>
            <w:tcW w:w="9576" w:type="dxa"/>
          </w:tcPr>
          <w:p w14:paraId="052BC977" w14:textId="77777777" w:rsidR="008423E4" w:rsidRPr="00A8133F" w:rsidRDefault="00D93191" w:rsidP="00267A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DC9113" w14:textId="77777777" w:rsidR="008423E4" w:rsidRDefault="008423E4" w:rsidP="00267A06"/>
          <w:p w14:paraId="57B6849B" w14:textId="77777777" w:rsidR="008423E4" w:rsidRPr="003624F2" w:rsidRDefault="00D93191" w:rsidP="00267A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</w:t>
            </w:r>
            <w:r>
              <w:t>does not receive the necessary vote, September 1, 2021.</w:t>
            </w:r>
          </w:p>
          <w:p w14:paraId="100A0E25" w14:textId="77777777" w:rsidR="008423E4" w:rsidRPr="00233FDB" w:rsidRDefault="008423E4" w:rsidP="00267A06">
            <w:pPr>
              <w:rPr>
                <w:b/>
              </w:rPr>
            </w:pPr>
          </w:p>
        </w:tc>
      </w:tr>
      <w:tr w:rsidR="00225980" w14:paraId="3E2470F2" w14:textId="77777777" w:rsidTr="00345119">
        <w:tc>
          <w:tcPr>
            <w:tcW w:w="9576" w:type="dxa"/>
          </w:tcPr>
          <w:p w14:paraId="0596F7A6" w14:textId="77777777" w:rsidR="00945848" w:rsidRDefault="00D93191" w:rsidP="00267A0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A2DAD70" w14:textId="77777777" w:rsidR="009551CA" w:rsidRDefault="009551CA" w:rsidP="00267A06">
            <w:pPr>
              <w:jc w:val="both"/>
            </w:pPr>
          </w:p>
          <w:p w14:paraId="171EBDFE" w14:textId="75B1E323" w:rsidR="009551CA" w:rsidRDefault="00D93191" w:rsidP="00267A06">
            <w:pPr>
              <w:jc w:val="both"/>
            </w:pPr>
            <w:r>
              <w:t xml:space="preserve">While C.S.H.B. 2258 may differ from the original in minor or nonsubstantive ways, the following summarizes the substantial differences between the introduced </w:t>
            </w:r>
            <w:r>
              <w:t>and committee substitute versions of the bill.</w:t>
            </w:r>
          </w:p>
          <w:p w14:paraId="4463B2D8" w14:textId="4FEE9CEE" w:rsidR="009551CA" w:rsidRDefault="009551CA" w:rsidP="00267A06">
            <w:pPr>
              <w:jc w:val="both"/>
            </w:pPr>
          </w:p>
          <w:p w14:paraId="100723B7" w14:textId="089F539D" w:rsidR="009551CA" w:rsidRDefault="00D93191" w:rsidP="00267A06">
            <w:pPr>
              <w:jc w:val="both"/>
            </w:pPr>
            <w:r w:rsidRPr="009551CA">
              <w:t>The substitute includes requirement</w:t>
            </w:r>
            <w:r w:rsidR="0074530B">
              <w:t>s</w:t>
            </w:r>
            <w:r w:rsidRPr="009551CA">
              <w:t xml:space="preserve"> absent from the original for TEA</w:t>
            </w:r>
            <w:r>
              <w:t>, in developing the strategic plan,</w:t>
            </w:r>
            <w:r w:rsidRPr="009551CA">
              <w:t xml:space="preserve"> to </w:t>
            </w:r>
            <w:r>
              <w:t>study the use of the Bilingual Target Language Proficiency Test to certify educators in bilingual ed</w:t>
            </w:r>
            <w:r>
              <w:t>ucation and to make certain determinations and recommendations</w:t>
            </w:r>
            <w:r w:rsidRPr="009551CA">
              <w:t>.</w:t>
            </w:r>
          </w:p>
          <w:p w14:paraId="67D0539C" w14:textId="279D56A6" w:rsidR="009551CA" w:rsidRPr="009551CA" w:rsidRDefault="009551CA" w:rsidP="00267A06">
            <w:pPr>
              <w:jc w:val="both"/>
            </w:pPr>
          </w:p>
        </w:tc>
      </w:tr>
      <w:tr w:rsidR="00225980" w14:paraId="08C90936" w14:textId="77777777" w:rsidTr="00345119">
        <w:tc>
          <w:tcPr>
            <w:tcW w:w="9576" w:type="dxa"/>
          </w:tcPr>
          <w:p w14:paraId="170DD5A0" w14:textId="77777777" w:rsidR="00357EEB" w:rsidRPr="009C1E9A" w:rsidRDefault="00357EEB" w:rsidP="00267A06">
            <w:pPr>
              <w:rPr>
                <w:b/>
                <w:u w:val="single"/>
              </w:rPr>
            </w:pPr>
          </w:p>
        </w:tc>
      </w:tr>
      <w:tr w:rsidR="00225980" w14:paraId="0E90EDAA" w14:textId="77777777" w:rsidTr="00345119">
        <w:tc>
          <w:tcPr>
            <w:tcW w:w="9576" w:type="dxa"/>
          </w:tcPr>
          <w:p w14:paraId="237304EE" w14:textId="77777777" w:rsidR="00357EEB" w:rsidRPr="00945848" w:rsidRDefault="00357EEB" w:rsidP="00267A06">
            <w:pPr>
              <w:jc w:val="both"/>
            </w:pPr>
          </w:p>
        </w:tc>
      </w:tr>
      <w:tr w:rsidR="00225980" w14:paraId="55540FA7" w14:textId="77777777" w:rsidTr="00345119">
        <w:tc>
          <w:tcPr>
            <w:tcW w:w="9576" w:type="dxa"/>
          </w:tcPr>
          <w:p w14:paraId="7B24FEE8" w14:textId="77777777" w:rsidR="00945848" w:rsidRPr="00357EEB" w:rsidRDefault="00945848" w:rsidP="00267A06">
            <w:pPr>
              <w:jc w:val="both"/>
            </w:pPr>
          </w:p>
        </w:tc>
      </w:tr>
      <w:tr w:rsidR="00225980" w14:paraId="2004256C" w14:textId="77777777" w:rsidTr="00345119">
        <w:tc>
          <w:tcPr>
            <w:tcW w:w="9576" w:type="dxa"/>
          </w:tcPr>
          <w:p w14:paraId="3890A484" w14:textId="77777777" w:rsidR="00945848" w:rsidRPr="00357EEB" w:rsidRDefault="00945848" w:rsidP="00267A06">
            <w:pPr>
              <w:jc w:val="both"/>
            </w:pPr>
          </w:p>
        </w:tc>
      </w:tr>
      <w:tr w:rsidR="00225980" w14:paraId="00E7749A" w14:textId="77777777" w:rsidTr="00345119">
        <w:tc>
          <w:tcPr>
            <w:tcW w:w="9576" w:type="dxa"/>
          </w:tcPr>
          <w:p w14:paraId="1C0B8484" w14:textId="77777777" w:rsidR="00945848" w:rsidRPr="00357EEB" w:rsidRDefault="00945848" w:rsidP="00267A06">
            <w:pPr>
              <w:jc w:val="both"/>
            </w:pPr>
          </w:p>
        </w:tc>
      </w:tr>
    </w:tbl>
    <w:p w14:paraId="68FA4602" w14:textId="77777777" w:rsidR="008423E4" w:rsidRPr="00BE0E75" w:rsidRDefault="008423E4" w:rsidP="00842B9C">
      <w:pPr>
        <w:jc w:val="both"/>
        <w:rPr>
          <w:rFonts w:ascii="Arial" w:hAnsi="Arial"/>
          <w:sz w:val="16"/>
          <w:szCs w:val="16"/>
        </w:rPr>
      </w:pPr>
    </w:p>
    <w:p w14:paraId="645C9DDB" w14:textId="77777777" w:rsidR="004108C3" w:rsidRPr="008423E4" w:rsidRDefault="004108C3" w:rsidP="00842B9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2372" w14:textId="77777777" w:rsidR="00000000" w:rsidRDefault="00D93191">
      <w:r>
        <w:separator/>
      </w:r>
    </w:p>
  </w:endnote>
  <w:endnote w:type="continuationSeparator" w:id="0">
    <w:p w14:paraId="756C2692" w14:textId="77777777" w:rsidR="00000000" w:rsidRDefault="00D9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D796" w14:textId="77777777" w:rsidR="00605F3F" w:rsidRDefault="00605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5980" w14:paraId="1B3803EC" w14:textId="77777777" w:rsidTr="009C1E9A">
      <w:trPr>
        <w:cantSplit/>
      </w:trPr>
      <w:tc>
        <w:tcPr>
          <w:tcW w:w="0" w:type="pct"/>
        </w:tcPr>
        <w:p w14:paraId="2FFC8E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FAB6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41C22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C273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DB1E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5980" w14:paraId="7D128819" w14:textId="77777777" w:rsidTr="009C1E9A">
      <w:trPr>
        <w:cantSplit/>
      </w:trPr>
      <w:tc>
        <w:tcPr>
          <w:tcW w:w="0" w:type="pct"/>
        </w:tcPr>
        <w:p w14:paraId="4EFB29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734F18" w14:textId="1F13DAF9" w:rsidR="00EC379B" w:rsidRPr="009C1E9A" w:rsidRDefault="00D931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24864</w:t>
          </w:r>
        </w:p>
      </w:tc>
      <w:tc>
        <w:tcPr>
          <w:tcW w:w="2453" w:type="pct"/>
        </w:tcPr>
        <w:p w14:paraId="26AE056A" w14:textId="0371506B" w:rsidR="00EC379B" w:rsidRDefault="00D931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86D7B">
            <w:t>21.126.413</w:t>
          </w:r>
          <w:r>
            <w:fldChar w:fldCharType="end"/>
          </w:r>
        </w:p>
      </w:tc>
    </w:tr>
    <w:tr w:rsidR="00225980" w14:paraId="26DDE0F3" w14:textId="77777777" w:rsidTr="009C1E9A">
      <w:trPr>
        <w:cantSplit/>
      </w:trPr>
      <w:tc>
        <w:tcPr>
          <w:tcW w:w="0" w:type="pct"/>
        </w:tcPr>
        <w:p w14:paraId="4AFC2A0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6E64868" w14:textId="3CF279C1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B74982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FD9F8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5980" w14:paraId="7F82EB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0B9B20" w14:textId="39D15E6E" w:rsidR="00EC379B" w:rsidRDefault="00D931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67A0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4AF4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9347D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E3CD" w14:textId="77777777" w:rsidR="00605F3F" w:rsidRDefault="00605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14DF1" w14:textId="77777777" w:rsidR="00000000" w:rsidRDefault="00D93191">
      <w:r>
        <w:separator/>
      </w:r>
    </w:p>
  </w:footnote>
  <w:footnote w:type="continuationSeparator" w:id="0">
    <w:p w14:paraId="55860155" w14:textId="77777777" w:rsidR="00000000" w:rsidRDefault="00D9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D728" w14:textId="77777777" w:rsidR="00605F3F" w:rsidRDefault="00605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68E7" w14:textId="77777777" w:rsidR="00605F3F" w:rsidRDefault="00605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2C45" w14:textId="77777777" w:rsidR="00605F3F" w:rsidRDefault="00605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A4B"/>
    <w:multiLevelType w:val="hybridMultilevel"/>
    <w:tmpl w:val="CE66B00C"/>
    <w:lvl w:ilvl="0" w:tplc="184EE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4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AF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27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A7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A1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88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C3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2B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85E"/>
    <w:multiLevelType w:val="hybridMultilevel"/>
    <w:tmpl w:val="18B2A69C"/>
    <w:lvl w:ilvl="0" w:tplc="E07C8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80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01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CE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A3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81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C8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A5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21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E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3E1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93C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B53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4ED9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980"/>
    <w:rsid w:val="002304DF"/>
    <w:rsid w:val="0023341D"/>
    <w:rsid w:val="002338DA"/>
    <w:rsid w:val="00233D66"/>
    <w:rsid w:val="00233FDB"/>
    <w:rsid w:val="0023497D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A06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57EEB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C9F"/>
    <w:rsid w:val="003A0296"/>
    <w:rsid w:val="003A10BC"/>
    <w:rsid w:val="003B08F4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7B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4C0"/>
    <w:rsid w:val="005269CE"/>
    <w:rsid w:val="005304B2"/>
    <w:rsid w:val="005336BD"/>
    <w:rsid w:val="00534A49"/>
    <w:rsid w:val="005363BB"/>
    <w:rsid w:val="00541B98"/>
    <w:rsid w:val="00543374"/>
    <w:rsid w:val="0054370A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3F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9D4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428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576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30B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2F6E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2B9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B11"/>
    <w:rsid w:val="0086477C"/>
    <w:rsid w:val="00864BAD"/>
    <w:rsid w:val="00866F9D"/>
    <w:rsid w:val="008673D9"/>
    <w:rsid w:val="00871775"/>
    <w:rsid w:val="00871AEF"/>
    <w:rsid w:val="008726E5"/>
    <w:rsid w:val="0087289E"/>
    <w:rsid w:val="0087423A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17EE1"/>
    <w:rsid w:val="00920711"/>
    <w:rsid w:val="00921A1E"/>
    <w:rsid w:val="00924EA9"/>
    <w:rsid w:val="00925CE1"/>
    <w:rsid w:val="00925F5C"/>
    <w:rsid w:val="00930897"/>
    <w:rsid w:val="009320D2"/>
    <w:rsid w:val="00932C77"/>
    <w:rsid w:val="009338CC"/>
    <w:rsid w:val="0093417F"/>
    <w:rsid w:val="00934AC2"/>
    <w:rsid w:val="009375BB"/>
    <w:rsid w:val="009418E9"/>
    <w:rsid w:val="00945848"/>
    <w:rsid w:val="00946044"/>
    <w:rsid w:val="009465AB"/>
    <w:rsid w:val="00946DEE"/>
    <w:rsid w:val="00953499"/>
    <w:rsid w:val="00954A16"/>
    <w:rsid w:val="009551CA"/>
    <w:rsid w:val="0095696D"/>
    <w:rsid w:val="0096482F"/>
    <w:rsid w:val="00964E3A"/>
    <w:rsid w:val="00965EA4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6D7B"/>
    <w:rsid w:val="00987F00"/>
    <w:rsid w:val="00993E4F"/>
    <w:rsid w:val="0099403D"/>
    <w:rsid w:val="00995B0B"/>
    <w:rsid w:val="009A1883"/>
    <w:rsid w:val="009A35E5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892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276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5C0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B86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79C"/>
    <w:rsid w:val="00CA2182"/>
    <w:rsid w:val="00CA2186"/>
    <w:rsid w:val="00CA26EF"/>
    <w:rsid w:val="00CA3608"/>
    <w:rsid w:val="00CA4CA0"/>
    <w:rsid w:val="00CA5E5E"/>
    <w:rsid w:val="00CA7A75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20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916"/>
    <w:rsid w:val="00D811E8"/>
    <w:rsid w:val="00D81A44"/>
    <w:rsid w:val="00D83072"/>
    <w:rsid w:val="00D83ABC"/>
    <w:rsid w:val="00D84870"/>
    <w:rsid w:val="00D91B92"/>
    <w:rsid w:val="00D926B3"/>
    <w:rsid w:val="00D92F63"/>
    <w:rsid w:val="00D93191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29D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673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060"/>
    <w:rsid w:val="00F96602"/>
    <w:rsid w:val="00F9735A"/>
    <w:rsid w:val="00FA32FC"/>
    <w:rsid w:val="00FA51F5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B1CD4D-EA8B-41A7-AA8D-8020B59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7A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7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A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A75"/>
    <w:rPr>
      <w:b/>
      <w:bCs/>
    </w:rPr>
  </w:style>
  <w:style w:type="paragraph" w:styleId="Revision">
    <w:name w:val="Revision"/>
    <w:hidden/>
    <w:uiPriority w:val="99"/>
    <w:semiHidden/>
    <w:rsid w:val="00874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3310</Characters>
  <Application>Microsoft Office Word</Application>
  <DocSecurity>4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HB02258 (Committee Report (Substituted))</vt:lpstr>
    </vt:vector>
  </TitlesOfParts>
  <Company>State of Texas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24864</dc:subject>
  <dc:creator>State of Texas</dc:creator>
  <dc:description>HB 2258 by Guerra-(H)Public Education</dc:description>
  <cp:lastModifiedBy>Thomas Weis</cp:lastModifiedBy>
  <cp:revision>2</cp:revision>
  <cp:lastPrinted>2003-11-26T17:21:00Z</cp:lastPrinted>
  <dcterms:created xsi:type="dcterms:W3CDTF">2021-05-06T23:52:00Z</dcterms:created>
  <dcterms:modified xsi:type="dcterms:W3CDTF">2021-05-06T23:52:00Z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21.126.413</vt:lpwstr>
  </property>
</Properties>
</file>