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05EA" w14:paraId="3F8538BA" w14:textId="77777777" w:rsidTr="00345119">
        <w:tc>
          <w:tcPr>
            <w:tcW w:w="9576" w:type="dxa"/>
            <w:noWrap/>
          </w:tcPr>
          <w:p w14:paraId="42F80283" w14:textId="77777777" w:rsidR="008423E4" w:rsidRPr="0022177D" w:rsidRDefault="005C7015" w:rsidP="00AA079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DE08F1" w14:textId="77777777" w:rsidR="008423E4" w:rsidRPr="0022177D" w:rsidRDefault="008423E4" w:rsidP="00AA0799">
      <w:pPr>
        <w:jc w:val="center"/>
      </w:pPr>
    </w:p>
    <w:p w14:paraId="0509E96F" w14:textId="77777777" w:rsidR="008423E4" w:rsidRPr="00B31F0E" w:rsidRDefault="008423E4" w:rsidP="00AA0799"/>
    <w:p w14:paraId="684CFFBE" w14:textId="77777777" w:rsidR="008423E4" w:rsidRPr="00742794" w:rsidRDefault="008423E4" w:rsidP="00AA079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05EA" w14:paraId="1D891D9E" w14:textId="77777777" w:rsidTr="00345119">
        <w:tc>
          <w:tcPr>
            <w:tcW w:w="9576" w:type="dxa"/>
          </w:tcPr>
          <w:p w14:paraId="6CFC139B" w14:textId="5304F2BF" w:rsidR="008423E4" w:rsidRPr="00861995" w:rsidRDefault="005C7015" w:rsidP="00AA0799">
            <w:pPr>
              <w:jc w:val="right"/>
            </w:pPr>
            <w:r>
              <w:t>C.S.H.B. 2275</w:t>
            </w:r>
          </w:p>
        </w:tc>
      </w:tr>
      <w:tr w:rsidR="00E305EA" w14:paraId="6DAFF148" w14:textId="77777777" w:rsidTr="00345119">
        <w:tc>
          <w:tcPr>
            <w:tcW w:w="9576" w:type="dxa"/>
          </w:tcPr>
          <w:p w14:paraId="3041F710" w14:textId="0720DD4B" w:rsidR="008423E4" w:rsidRPr="00861995" w:rsidRDefault="005C7015" w:rsidP="00AA0799">
            <w:pPr>
              <w:jc w:val="right"/>
            </w:pPr>
            <w:r>
              <w:t xml:space="preserve">By: </w:t>
            </w:r>
            <w:r w:rsidR="00397D03">
              <w:t>Zwiener</w:t>
            </w:r>
          </w:p>
        </w:tc>
      </w:tr>
      <w:tr w:rsidR="00E305EA" w14:paraId="4E44F0BD" w14:textId="77777777" w:rsidTr="00345119">
        <w:tc>
          <w:tcPr>
            <w:tcW w:w="9576" w:type="dxa"/>
          </w:tcPr>
          <w:p w14:paraId="11C85A82" w14:textId="12D64783" w:rsidR="008423E4" w:rsidRPr="00861995" w:rsidRDefault="005C7015" w:rsidP="00AA0799">
            <w:pPr>
              <w:jc w:val="right"/>
            </w:pPr>
            <w:r>
              <w:t>State Affairs</w:t>
            </w:r>
          </w:p>
        </w:tc>
      </w:tr>
      <w:tr w:rsidR="00E305EA" w14:paraId="7CF662CD" w14:textId="77777777" w:rsidTr="00345119">
        <w:tc>
          <w:tcPr>
            <w:tcW w:w="9576" w:type="dxa"/>
          </w:tcPr>
          <w:p w14:paraId="45D44F63" w14:textId="41822815" w:rsidR="008423E4" w:rsidRDefault="005C7015" w:rsidP="00AA0799">
            <w:pPr>
              <w:jc w:val="right"/>
            </w:pPr>
            <w:r>
              <w:t>Committee Report (Substituted)</w:t>
            </w:r>
          </w:p>
        </w:tc>
      </w:tr>
    </w:tbl>
    <w:p w14:paraId="13394A83" w14:textId="77777777" w:rsidR="008423E4" w:rsidRDefault="008423E4" w:rsidP="00AA0799">
      <w:pPr>
        <w:tabs>
          <w:tab w:val="right" w:pos="9360"/>
        </w:tabs>
      </w:pPr>
    </w:p>
    <w:p w14:paraId="17EC36C5" w14:textId="77777777" w:rsidR="008423E4" w:rsidRDefault="008423E4" w:rsidP="00AA0799"/>
    <w:p w14:paraId="5BFDD95D" w14:textId="77777777" w:rsidR="008423E4" w:rsidRDefault="008423E4" w:rsidP="00AA079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05EA" w14:paraId="2A271829" w14:textId="77777777" w:rsidTr="00345119">
        <w:tc>
          <w:tcPr>
            <w:tcW w:w="9576" w:type="dxa"/>
          </w:tcPr>
          <w:p w14:paraId="3488AEA9" w14:textId="77777777" w:rsidR="008423E4" w:rsidRPr="00A8133F" w:rsidRDefault="005C7015" w:rsidP="00AA07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A1561E" w14:textId="77777777" w:rsidR="008423E4" w:rsidRDefault="008423E4" w:rsidP="00AA0799"/>
          <w:p w14:paraId="1A71BD1A" w14:textId="32C9C0FF" w:rsidR="008423E4" w:rsidRDefault="005C7015" w:rsidP="00AA0799">
            <w:pPr>
              <w:pStyle w:val="Header"/>
              <w:jc w:val="both"/>
            </w:pPr>
            <w:r>
              <w:t xml:space="preserve">Winter Storm Uri, which hit Texas in February of this year, paralyzed the state's electric grid and left millions of Texans without </w:t>
            </w:r>
            <w:r>
              <w:t>power for upwards of a week in record cold weather. This disaster showcased the need to ensure that critical infrastructure facilities have adequate reserve power to en</w:t>
            </w:r>
            <w:r w:rsidR="00061AF8">
              <w:t>d</w:t>
            </w:r>
            <w:r>
              <w:t xml:space="preserve">ure an extended blackout. </w:t>
            </w:r>
            <w:r w:rsidR="006E5C7F">
              <w:t>C</w:t>
            </w:r>
            <w:r w:rsidR="00096E7C">
              <w:t>.</w:t>
            </w:r>
            <w:r w:rsidR="006E5C7F">
              <w:t>S</w:t>
            </w:r>
            <w:r w:rsidR="00096E7C">
              <w:t>.</w:t>
            </w:r>
            <w:r w:rsidR="006E5C7F">
              <w:t>H</w:t>
            </w:r>
            <w:r w:rsidR="00096E7C">
              <w:t>.</w:t>
            </w:r>
            <w:r w:rsidR="006E5C7F">
              <w:t>B</w:t>
            </w:r>
            <w:r w:rsidR="00096E7C">
              <w:t>.</w:t>
            </w:r>
            <w:r w:rsidR="006E5C7F">
              <w:t xml:space="preserve"> 2275 </w:t>
            </w:r>
            <w:r>
              <w:t xml:space="preserve">seeks to make grant funding available for </w:t>
            </w:r>
            <w:r w:rsidR="00754B91">
              <w:t>hardening and weatherizing</w:t>
            </w:r>
            <w:r>
              <w:t xml:space="preserve"> the state's electric grid and water and wastewater systems and </w:t>
            </w:r>
            <w:r w:rsidR="00891B1C">
              <w:t xml:space="preserve">for </w:t>
            </w:r>
            <w:r>
              <w:t>the purchase of reserve power supply by qualifying hospitals, convalescent</w:t>
            </w:r>
            <w:r w:rsidR="00061AF8">
              <w:t xml:space="preserve"> and nursing</w:t>
            </w:r>
            <w:r>
              <w:t xml:space="preserve"> facilities, and end</w:t>
            </w:r>
            <w:r w:rsidR="00061AF8">
              <w:t xml:space="preserve"> </w:t>
            </w:r>
            <w:r>
              <w:t>stage renal</w:t>
            </w:r>
            <w:r w:rsidR="00891B1C">
              <w:t xml:space="preserve"> disease facilities.</w:t>
            </w:r>
          </w:p>
          <w:p w14:paraId="18706032" w14:textId="77777777" w:rsidR="008423E4" w:rsidRPr="00E26B13" w:rsidRDefault="008423E4" w:rsidP="00AA0799">
            <w:pPr>
              <w:rPr>
                <w:b/>
              </w:rPr>
            </w:pPr>
          </w:p>
        </w:tc>
      </w:tr>
      <w:tr w:rsidR="00E305EA" w14:paraId="50B476B1" w14:textId="77777777" w:rsidTr="00345119">
        <w:tc>
          <w:tcPr>
            <w:tcW w:w="9576" w:type="dxa"/>
          </w:tcPr>
          <w:p w14:paraId="38D6A700" w14:textId="77777777" w:rsidR="0017725B" w:rsidRDefault="005C7015" w:rsidP="00AA07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DD17721" w14:textId="77777777" w:rsidR="0017725B" w:rsidRDefault="0017725B" w:rsidP="00AA0799">
            <w:pPr>
              <w:rPr>
                <w:b/>
                <w:u w:val="single"/>
              </w:rPr>
            </w:pPr>
          </w:p>
          <w:p w14:paraId="34A3DF59" w14:textId="77777777" w:rsidR="0017725B" w:rsidRDefault="005C7015" w:rsidP="00AA0799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14:paraId="697BE2B0" w14:textId="54F0CAE0" w:rsidR="001E118D" w:rsidRPr="001D625F" w:rsidRDefault="001E118D" w:rsidP="00AA0799">
            <w:pPr>
              <w:jc w:val="both"/>
            </w:pPr>
          </w:p>
        </w:tc>
      </w:tr>
      <w:tr w:rsidR="00E305EA" w14:paraId="44413261" w14:textId="77777777" w:rsidTr="00345119">
        <w:tc>
          <w:tcPr>
            <w:tcW w:w="9576" w:type="dxa"/>
          </w:tcPr>
          <w:p w14:paraId="363A4EB3" w14:textId="77777777" w:rsidR="008423E4" w:rsidRPr="00A8133F" w:rsidRDefault="005C7015" w:rsidP="00AA07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EA002A" w14:textId="77777777" w:rsidR="008423E4" w:rsidRDefault="008423E4" w:rsidP="00AA0799"/>
          <w:p w14:paraId="02B9745F" w14:textId="77777777" w:rsidR="001E118D" w:rsidRDefault="005C7015" w:rsidP="00AA0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722E26">
              <w:t>the</w:t>
            </w:r>
            <w:r w:rsidR="00243FF6">
              <w:t xml:space="preserve"> </w:t>
            </w:r>
            <w:r w:rsidR="00243FF6" w:rsidRPr="00243FF6">
              <w:t xml:space="preserve">Texas Division of Emergency Management </w:t>
            </w:r>
            <w:r>
              <w:t>in SECTION 1 of this bill</w:t>
            </w:r>
            <w:r w:rsidR="00243FF6">
              <w:t>.</w:t>
            </w:r>
          </w:p>
          <w:p w14:paraId="2669CF44" w14:textId="25066E12" w:rsidR="00151AE8" w:rsidRPr="006C59FF" w:rsidRDefault="00151AE8" w:rsidP="00AA0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305EA" w14:paraId="4A354D32" w14:textId="77777777" w:rsidTr="00345119">
        <w:tc>
          <w:tcPr>
            <w:tcW w:w="9576" w:type="dxa"/>
          </w:tcPr>
          <w:p w14:paraId="3C9D2033" w14:textId="19E44EA9" w:rsidR="007720FD" w:rsidRPr="00F72559" w:rsidRDefault="005C7015" w:rsidP="00AA0799">
            <w:pPr>
              <w:jc w:val="both"/>
              <w:rPr>
                <w:b/>
              </w:rPr>
            </w:pPr>
            <w:r w:rsidRPr="006C59FF">
              <w:rPr>
                <w:b/>
                <w:u w:val="single"/>
              </w:rPr>
              <w:t>ANALYSIS</w:t>
            </w:r>
            <w:r w:rsidRPr="006C59FF">
              <w:rPr>
                <w:b/>
              </w:rPr>
              <w:t xml:space="preserve"> </w:t>
            </w:r>
          </w:p>
          <w:p w14:paraId="529F5844" w14:textId="77777777" w:rsidR="00053665" w:rsidRDefault="00053665" w:rsidP="00AA0799">
            <w:pPr>
              <w:pStyle w:val="Header"/>
              <w:jc w:val="both"/>
              <w:rPr>
                <w:b/>
              </w:rPr>
            </w:pPr>
          </w:p>
          <w:p w14:paraId="4CD1CF62" w14:textId="5472C93F" w:rsidR="00E20C2E" w:rsidRPr="00151AE8" w:rsidRDefault="005C7015" w:rsidP="00AA079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Critical Infrastructure Resiliency Fund</w:t>
            </w:r>
          </w:p>
          <w:p w14:paraId="04928995" w14:textId="77777777" w:rsidR="00E20C2E" w:rsidRDefault="00E20C2E" w:rsidP="00AA0799">
            <w:pPr>
              <w:pStyle w:val="Header"/>
              <w:jc w:val="both"/>
            </w:pPr>
          </w:p>
          <w:p w14:paraId="71B2D109" w14:textId="60024A9D" w:rsidR="00456EDA" w:rsidRDefault="005C7015" w:rsidP="00AA0799">
            <w:pPr>
              <w:pStyle w:val="Header"/>
              <w:jc w:val="both"/>
            </w:pPr>
            <w:r>
              <w:t>C.S.</w:t>
            </w:r>
            <w:r w:rsidR="007720FD" w:rsidRPr="006C59FF">
              <w:t xml:space="preserve">H.B. 2275 amends the Government Code to </w:t>
            </w:r>
            <w:r w:rsidR="00F3294A">
              <w:t>c</w:t>
            </w:r>
            <w:r w:rsidR="0029148D">
              <w:t>reate</w:t>
            </w:r>
            <w:r>
              <w:t xml:space="preserve"> </w:t>
            </w:r>
            <w:r w:rsidR="007720FD" w:rsidRPr="006C59FF">
              <w:t>the critical infrastructure resiliency fund as a special fund in the state treasury outside the general revenue fund</w:t>
            </w:r>
            <w:r w:rsidR="003F558E">
              <w:t>. The bill set</w:t>
            </w:r>
            <w:r w:rsidR="00764934">
              <w:t>s</w:t>
            </w:r>
            <w:r w:rsidR="003F558E">
              <w:t xml:space="preserve"> out the composition </w:t>
            </w:r>
            <w:r w:rsidR="003F558E" w:rsidRPr="003F558E">
              <w:t>of</w:t>
            </w:r>
            <w:r w:rsidR="003F558E">
              <w:t xml:space="preserve"> the fund and authorizes the fund</w:t>
            </w:r>
            <w:r w:rsidR="0029148D">
              <w:t xml:space="preserve"> to be used by</w:t>
            </w:r>
            <w:r w:rsidR="009E25BF" w:rsidRPr="006C59FF">
              <w:t xml:space="preserve"> </w:t>
            </w:r>
            <w:r w:rsidR="003A00DD" w:rsidRPr="006C59FF">
              <w:t>the Texas Division of Emergency Management (TDEM)</w:t>
            </w:r>
            <w:r w:rsidR="004633C2">
              <w:t>, without further legislative appropriation,</w:t>
            </w:r>
            <w:r w:rsidR="009B4C57">
              <w:t xml:space="preserve"> </w:t>
            </w:r>
            <w:r w:rsidR="00096E7C">
              <w:t>to make</w:t>
            </w:r>
            <w:r w:rsidR="00096E7C" w:rsidRPr="006C59FF">
              <w:t xml:space="preserve"> </w:t>
            </w:r>
            <w:r w:rsidR="003A00DD" w:rsidRPr="006C59FF">
              <w:t>grant</w:t>
            </w:r>
            <w:r w:rsidR="0029148D">
              <w:t>s</w:t>
            </w:r>
            <w:r w:rsidR="003A00DD" w:rsidRPr="006C59FF">
              <w:t xml:space="preserve"> to eligible entit</w:t>
            </w:r>
            <w:r w:rsidR="00995D0E">
              <w:t>ies</w:t>
            </w:r>
            <w:r w:rsidR="003A00DD" w:rsidRPr="006C59FF">
              <w:t xml:space="preserve"> </w:t>
            </w:r>
            <w:r w:rsidR="00096E7C">
              <w:t>in accordance with the bill's provisions</w:t>
            </w:r>
            <w:r w:rsidR="00F84C28" w:rsidRPr="006C59FF">
              <w:t xml:space="preserve"> </w:t>
            </w:r>
            <w:r w:rsidR="00CF772F" w:rsidRPr="006C59FF">
              <w:t xml:space="preserve">and </w:t>
            </w:r>
            <w:r w:rsidR="00096E7C">
              <w:t>pay</w:t>
            </w:r>
            <w:r w:rsidR="00096E7C" w:rsidRPr="006C59FF">
              <w:t xml:space="preserve"> </w:t>
            </w:r>
            <w:r w:rsidR="00CF772F" w:rsidRPr="006C59FF">
              <w:t>the necessary and reasonable expenses of administering the fund.</w:t>
            </w:r>
            <w:r w:rsidR="003A00DD" w:rsidRPr="006C59FF">
              <w:t xml:space="preserve"> </w:t>
            </w:r>
            <w:r w:rsidR="00003E21">
              <w:t xml:space="preserve">The bill establishes certain accounts within the fund, each with a specified purpose as indicated below, and requires TDEM to condition each grant awarded from any of those accounts on the grant recipient providing funds from non-state sources in a total amount at least equal </w:t>
            </w:r>
            <w:r w:rsidR="00003E21" w:rsidRPr="00003E21">
              <w:t>to 10 percent of the grant amount, with at least five percent of the recipient's match coming from local sources.</w:t>
            </w:r>
          </w:p>
          <w:p w14:paraId="784D8E2E" w14:textId="33AAABE0" w:rsidR="00A20239" w:rsidRDefault="00A20239" w:rsidP="00AA0799">
            <w:pPr>
              <w:pStyle w:val="Header"/>
              <w:jc w:val="both"/>
            </w:pPr>
          </w:p>
          <w:p w14:paraId="35908A84" w14:textId="7283659B" w:rsidR="00E20C2E" w:rsidRPr="00151AE8" w:rsidRDefault="005C7015" w:rsidP="00AA0799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>Electric Grid Improvement Account</w:t>
            </w:r>
          </w:p>
          <w:p w14:paraId="5AB2FB97" w14:textId="77777777" w:rsidR="00E20C2E" w:rsidRDefault="00E20C2E" w:rsidP="00AA0799">
            <w:pPr>
              <w:pStyle w:val="Header"/>
              <w:ind w:left="720"/>
              <w:jc w:val="both"/>
            </w:pPr>
          </w:p>
          <w:p w14:paraId="740447EF" w14:textId="315A3D84" w:rsidR="007936C6" w:rsidRDefault="005C7015" w:rsidP="00AA0799">
            <w:pPr>
              <w:pStyle w:val="Header"/>
              <w:jc w:val="both"/>
            </w:pPr>
            <w:r>
              <w:t>C.S.</w:t>
            </w:r>
            <w:r w:rsidR="00F84C28" w:rsidRPr="006C59FF">
              <w:t xml:space="preserve">H.B. 2275 </w:t>
            </w:r>
            <w:r w:rsidR="00F3294A">
              <w:t>creates</w:t>
            </w:r>
            <w:r w:rsidR="00DD113F" w:rsidRPr="006C59FF">
              <w:t xml:space="preserve"> </w:t>
            </w:r>
            <w:r w:rsidR="00B52697" w:rsidRPr="006C59FF">
              <w:t>the</w:t>
            </w:r>
            <w:r w:rsidR="004A0016" w:rsidRPr="006C59FF">
              <w:t xml:space="preserve"> electric grid improvement account</w:t>
            </w:r>
            <w:r w:rsidR="00243FF6">
              <w:t xml:space="preserve"> </w:t>
            </w:r>
            <w:r w:rsidR="00243FF6" w:rsidRPr="00243FF6">
              <w:t>as</w:t>
            </w:r>
            <w:r w:rsidR="00243FF6">
              <w:t xml:space="preserve"> an account</w:t>
            </w:r>
            <w:r w:rsidR="00243FF6" w:rsidRPr="00243FF6">
              <w:t xml:space="preserve"> of the critical</w:t>
            </w:r>
            <w:r w:rsidR="00243FF6">
              <w:t xml:space="preserve"> infrastructure resiliency fund</w:t>
            </w:r>
            <w:r w:rsidR="005E7964">
              <w:t xml:space="preserve"> and</w:t>
            </w:r>
            <w:r w:rsidR="00243FF6">
              <w:t xml:space="preserve"> sets out the composition of the account</w:t>
            </w:r>
            <w:r w:rsidR="005E7964">
              <w:t>.</w:t>
            </w:r>
            <w:r w:rsidR="00243FF6">
              <w:t xml:space="preserve"> </w:t>
            </w:r>
            <w:r w:rsidR="005E7964">
              <w:t>The bill restricts</w:t>
            </w:r>
            <w:r w:rsidR="00243FF6" w:rsidRPr="00243FF6">
              <w:t xml:space="preserve"> TDEM</w:t>
            </w:r>
            <w:r w:rsidR="005E7964">
              <w:t>'s</w:t>
            </w:r>
            <w:r w:rsidR="00243FF6" w:rsidRPr="00243FF6">
              <w:t xml:space="preserve"> use </w:t>
            </w:r>
            <w:r w:rsidR="005E7964">
              <w:t xml:space="preserve">of </w:t>
            </w:r>
            <w:r w:rsidR="00243FF6">
              <w:t>the</w:t>
            </w:r>
            <w:r w:rsidR="00243FF6" w:rsidRPr="00243FF6">
              <w:t xml:space="preserve"> account</w:t>
            </w:r>
            <w:r w:rsidR="00243FF6">
              <w:t xml:space="preserve"> </w:t>
            </w:r>
            <w:r w:rsidR="00243FF6" w:rsidRPr="00243FF6">
              <w:t>to mak</w:t>
            </w:r>
            <w:r>
              <w:t>ing</w:t>
            </w:r>
            <w:r w:rsidR="00243FF6" w:rsidRPr="00243FF6">
              <w:t xml:space="preserve"> matching grants to </w:t>
            </w:r>
            <w:r>
              <w:t>the following</w:t>
            </w:r>
            <w:r w:rsidR="00243FF6" w:rsidRPr="00243FF6">
              <w:t xml:space="preserve"> entities for hardening and</w:t>
            </w:r>
            <w:r w:rsidR="009C544C">
              <w:t xml:space="preserve"> weatherizing the electric grid</w:t>
            </w:r>
            <w:r>
              <w:t>:</w:t>
            </w:r>
          </w:p>
          <w:p w14:paraId="38512635" w14:textId="6DF6B150" w:rsidR="007936C6" w:rsidRDefault="005C7015" w:rsidP="00AA079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municipally owned electric u</w:t>
            </w:r>
            <w:r>
              <w:t>tilities;</w:t>
            </w:r>
          </w:p>
          <w:p w14:paraId="341C4B66" w14:textId="77777777" w:rsidR="007936C6" w:rsidRDefault="005C7015" w:rsidP="00AA079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electric cooperatives;</w:t>
            </w:r>
          </w:p>
          <w:p w14:paraId="722F284E" w14:textId="77777777" w:rsidR="007936C6" w:rsidRDefault="005C7015" w:rsidP="00AA079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transmission and distribution utilities; and</w:t>
            </w:r>
          </w:p>
          <w:p w14:paraId="55C31424" w14:textId="2BFD4B64" w:rsidR="00E20C2E" w:rsidRDefault="005C7015" w:rsidP="00AA079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vertically integrated utilities.</w:t>
            </w:r>
          </w:p>
          <w:p w14:paraId="2A84F473" w14:textId="1D28D71E" w:rsidR="00243FF6" w:rsidRDefault="005C7015" w:rsidP="00AA0799">
            <w:pPr>
              <w:pStyle w:val="Header"/>
              <w:jc w:val="both"/>
            </w:pPr>
            <w:r>
              <w:t xml:space="preserve">The bill prohibits TDEM from using the account </w:t>
            </w:r>
            <w:r w:rsidRPr="009C544C">
              <w:t>to make grants fo</w:t>
            </w:r>
            <w:r>
              <w:t xml:space="preserve">r routine vegetation management. </w:t>
            </w:r>
            <w:r w:rsidR="00635350">
              <w:t>The bill</w:t>
            </w:r>
            <w:r w:rsidRPr="00151AE8">
              <w:t xml:space="preserve"> </w:t>
            </w:r>
            <w:r w:rsidR="0033545B" w:rsidRPr="007936C6">
              <w:t>sets</w:t>
            </w:r>
            <w:r w:rsidR="0033545B">
              <w:t xml:space="preserve"> out certain factors TDEM </w:t>
            </w:r>
            <w:r>
              <w:t>must</w:t>
            </w:r>
            <w:r w:rsidR="0033545B">
              <w:t xml:space="preserve"> consider in making grants</w:t>
            </w:r>
            <w:r>
              <w:t xml:space="preserve"> from the account</w:t>
            </w:r>
            <w:r w:rsidR="0033545B">
              <w:t xml:space="preserve"> and </w:t>
            </w:r>
            <w:r>
              <w:t>authorizes TDEM to consult with the Public Utility Commission of Texas</w:t>
            </w:r>
            <w:r w:rsidR="002A6FE0">
              <w:t xml:space="preserve"> (PUC)</w:t>
            </w:r>
            <w:r w:rsidR="00CE7389">
              <w:t xml:space="preserve"> </w:t>
            </w:r>
            <w:r w:rsidR="00CE7389" w:rsidRPr="00A7425E">
              <w:t>in doing so</w:t>
            </w:r>
            <w:r>
              <w:t xml:space="preserve">. </w:t>
            </w:r>
          </w:p>
          <w:p w14:paraId="25C08C57" w14:textId="71BE6B66" w:rsidR="00E20C2E" w:rsidRDefault="00E20C2E" w:rsidP="00AA0799">
            <w:pPr>
              <w:pStyle w:val="Header"/>
              <w:jc w:val="both"/>
            </w:pPr>
          </w:p>
          <w:p w14:paraId="312B0ABD" w14:textId="048B0727" w:rsidR="00E20C2E" w:rsidRPr="00151AE8" w:rsidRDefault="005C7015" w:rsidP="00AA0799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>Hospital Infrastructure Resiliency Account</w:t>
            </w:r>
          </w:p>
          <w:p w14:paraId="148F9D4A" w14:textId="77777777" w:rsidR="00243FF6" w:rsidRDefault="00243FF6" w:rsidP="00AA0799">
            <w:pPr>
              <w:pStyle w:val="Header"/>
              <w:jc w:val="both"/>
            </w:pPr>
          </w:p>
          <w:p w14:paraId="1A80B7AA" w14:textId="58EC3957" w:rsidR="00E20C2E" w:rsidRDefault="005C7015" w:rsidP="00AA0799">
            <w:pPr>
              <w:pStyle w:val="Header"/>
              <w:jc w:val="both"/>
            </w:pPr>
            <w:r w:rsidRPr="00776B98">
              <w:t xml:space="preserve">C.S.H.B. 2275 creates the </w:t>
            </w:r>
            <w:r>
              <w:t xml:space="preserve">hospital infrastructure resiliency account </w:t>
            </w:r>
            <w:r w:rsidRPr="00776B98">
              <w:t xml:space="preserve">as </w:t>
            </w:r>
            <w:r w:rsidRPr="00776B98">
              <w:t xml:space="preserve">an account </w:t>
            </w:r>
            <w:r w:rsidR="00B715EC">
              <w:t>in</w:t>
            </w:r>
            <w:r w:rsidRPr="00776B98">
              <w:t xml:space="preserve"> the critical infrastructure resiliency fund</w:t>
            </w:r>
            <w:r w:rsidR="00995D0E">
              <w:t xml:space="preserve"> and</w:t>
            </w:r>
            <w:r w:rsidRPr="00776B98">
              <w:t xml:space="preserve"> sets out the composition of the account</w:t>
            </w:r>
            <w:r w:rsidR="00995D0E">
              <w:t>.</w:t>
            </w:r>
            <w:r w:rsidRPr="00776B98">
              <w:t xml:space="preserve"> </w:t>
            </w:r>
            <w:r w:rsidR="00995D0E">
              <w:t>The bill restricts</w:t>
            </w:r>
            <w:r w:rsidRPr="00776B98">
              <w:t xml:space="preserve"> TDEM</w:t>
            </w:r>
            <w:r w:rsidR="00995D0E">
              <w:t>'s</w:t>
            </w:r>
            <w:r w:rsidRPr="00776B98">
              <w:t xml:space="preserve"> use </w:t>
            </w:r>
            <w:r w:rsidR="00995D0E">
              <w:t xml:space="preserve">of </w:t>
            </w:r>
            <w:r w:rsidRPr="00776B98">
              <w:t>the account to mak</w:t>
            </w:r>
            <w:r w:rsidR="00995D0E">
              <w:t>ing</w:t>
            </w:r>
            <w:r w:rsidRPr="00776B98">
              <w:t xml:space="preserve"> matching grants to </w:t>
            </w:r>
            <w:r w:rsidR="00645227">
              <w:t>a municipally</w:t>
            </w:r>
            <w:r w:rsidR="00C17730">
              <w:t xml:space="preserve"> </w:t>
            </w:r>
            <w:r w:rsidR="00645227">
              <w:t>owned hospital or a private for-profit or nonprofit hospital</w:t>
            </w:r>
            <w:r w:rsidRPr="00776B98">
              <w:t xml:space="preserve"> for </w:t>
            </w:r>
            <w:r w:rsidRPr="00776B98">
              <w:t>purchasing reserve power supply</w:t>
            </w:r>
            <w:r w:rsidR="00821B12">
              <w:t xml:space="preserve"> </w:t>
            </w:r>
            <w:r w:rsidRPr="00776B98">
              <w:t>necessary to sustain critical medical care.</w:t>
            </w:r>
            <w:r>
              <w:t xml:space="preserve"> </w:t>
            </w:r>
            <w:r w:rsidR="0033545B" w:rsidRPr="0033545B">
              <w:t>The bill</w:t>
            </w:r>
            <w:r w:rsidR="00995D0E">
              <w:t xml:space="preserve"> </w:t>
            </w:r>
            <w:r w:rsidR="0033545B" w:rsidRPr="0033545B">
              <w:t>sets out certain factors</w:t>
            </w:r>
            <w:r w:rsidR="00645227">
              <w:t xml:space="preserve"> </w:t>
            </w:r>
            <w:r w:rsidR="0033545B" w:rsidRPr="0033545B">
              <w:t xml:space="preserve">TDEM </w:t>
            </w:r>
            <w:r w:rsidR="00645227">
              <w:t>must</w:t>
            </w:r>
            <w:r w:rsidR="0033545B" w:rsidRPr="0033545B">
              <w:t xml:space="preserve"> consider in making grants</w:t>
            </w:r>
            <w:r w:rsidR="00645227">
              <w:t xml:space="preserve"> from the account and authorizes TDEM to consult with the Health and Human Services Commission (HHSC)</w:t>
            </w:r>
            <w:r w:rsidR="00CE7389">
              <w:t xml:space="preserve"> </w:t>
            </w:r>
            <w:r w:rsidR="00CE7389" w:rsidRPr="000A223D">
              <w:t>in doing so</w:t>
            </w:r>
            <w:r w:rsidR="00645227">
              <w:t>.</w:t>
            </w:r>
            <w:r w:rsidR="0033545B" w:rsidRPr="0033545B">
              <w:t xml:space="preserve">  </w:t>
            </w:r>
          </w:p>
          <w:p w14:paraId="556A9535" w14:textId="77777777" w:rsidR="00E20C2E" w:rsidRDefault="00E20C2E" w:rsidP="00AA0799">
            <w:pPr>
              <w:pStyle w:val="Header"/>
              <w:jc w:val="both"/>
            </w:pPr>
          </w:p>
          <w:p w14:paraId="016D2D62" w14:textId="0970C180" w:rsidR="00776B98" w:rsidRDefault="005C7015" w:rsidP="00AA0799">
            <w:pPr>
              <w:pStyle w:val="Header"/>
              <w:jc w:val="both"/>
            </w:pPr>
            <w:r>
              <w:rPr>
                <w:u w:val="single"/>
              </w:rPr>
              <w:t>Nursing Home Resiliency Account</w:t>
            </w:r>
          </w:p>
          <w:p w14:paraId="4FB04A88" w14:textId="53D348E0" w:rsidR="00776B98" w:rsidRDefault="00776B98" w:rsidP="00AA0799">
            <w:pPr>
              <w:pStyle w:val="Header"/>
              <w:jc w:val="both"/>
            </w:pPr>
          </w:p>
          <w:p w14:paraId="6B9F95D6" w14:textId="58F1F7D5" w:rsidR="00DD67C9" w:rsidRDefault="005C7015" w:rsidP="00AA0799">
            <w:pPr>
              <w:pStyle w:val="Header"/>
              <w:jc w:val="both"/>
            </w:pPr>
            <w:r w:rsidRPr="00DD67C9">
              <w:t xml:space="preserve">C.S.H.B. 2275 creates </w:t>
            </w:r>
            <w:r w:rsidRPr="00A20239">
              <w:t xml:space="preserve">the </w:t>
            </w:r>
            <w:r>
              <w:t>nursing home</w:t>
            </w:r>
            <w:r w:rsidRPr="00A20239">
              <w:t xml:space="preserve"> resiliency account</w:t>
            </w:r>
            <w:r w:rsidRPr="00DD67C9">
              <w:t xml:space="preserve"> as an account </w:t>
            </w:r>
            <w:r w:rsidR="00B715EC">
              <w:t>in</w:t>
            </w:r>
            <w:r w:rsidRPr="00DD67C9">
              <w:t xml:space="preserve"> the critical infrastructure resiliency fund</w:t>
            </w:r>
            <w:r w:rsidR="00B715EC">
              <w:t xml:space="preserve"> and</w:t>
            </w:r>
            <w:r w:rsidRPr="00DD67C9">
              <w:t xml:space="preserve"> sets out the composition of the account</w:t>
            </w:r>
            <w:r w:rsidR="00B715EC">
              <w:t>.</w:t>
            </w:r>
            <w:r w:rsidRPr="00DD67C9">
              <w:t xml:space="preserve"> </w:t>
            </w:r>
            <w:r w:rsidR="00B715EC">
              <w:t>The</w:t>
            </w:r>
            <w:r w:rsidRPr="00DD67C9">
              <w:t xml:space="preserve"> </w:t>
            </w:r>
            <w:r w:rsidR="00B715EC">
              <w:t xml:space="preserve">bill restricts </w:t>
            </w:r>
            <w:r w:rsidRPr="00DD67C9">
              <w:t>TDEM</w:t>
            </w:r>
            <w:r w:rsidR="00B715EC">
              <w:t>'s</w:t>
            </w:r>
            <w:r w:rsidRPr="00DD67C9">
              <w:t xml:space="preserve"> use </w:t>
            </w:r>
            <w:r w:rsidR="00B715EC">
              <w:t xml:space="preserve">of </w:t>
            </w:r>
            <w:r w:rsidRPr="00DD67C9">
              <w:t>the account to mak</w:t>
            </w:r>
            <w:r w:rsidR="00B715EC">
              <w:t>ing</w:t>
            </w:r>
            <w:r w:rsidRPr="00DD67C9">
              <w:t xml:space="preserve"> matching grants to</w:t>
            </w:r>
            <w:r>
              <w:t xml:space="preserve"> </w:t>
            </w:r>
            <w:r w:rsidR="00B715EC">
              <w:t>state-</w:t>
            </w:r>
            <w:r>
              <w:t>licensed</w:t>
            </w:r>
            <w:r w:rsidRPr="00DD67C9">
              <w:t xml:space="preserve"> </w:t>
            </w:r>
            <w:r>
              <w:t>convalescent and nursing facilities and</w:t>
            </w:r>
            <w:r w:rsidR="00B715EC">
              <w:t xml:space="preserve"> other</w:t>
            </w:r>
            <w:r>
              <w:t xml:space="preserve"> related institutions </w:t>
            </w:r>
            <w:r w:rsidRPr="00DD67C9">
              <w:t>for purchasing reserve power supply</w:t>
            </w:r>
            <w:r w:rsidR="00821B12">
              <w:t xml:space="preserve"> </w:t>
            </w:r>
            <w:r w:rsidRPr="00DD67C9">
              <w:t>necessary to sustain critical medical care.</w:t>
            </w:r>
            <w:r w:rsidR="00821B12">
              <w:t xml:space="preserve"> The bill authorizes TDEM to </w:t>
            </w:r>
            <w:r w:rsidR="00821B12" w:rsidRPr="00821B12">
              <w:t xml:space="preserve">consult with </w:t>
            </w:r>
            <w:r w:rsidR="00037BEF">
              <w:t xml:space="preserve">HHSC </w:t>
            </w:r>
            <w:r w:rsidR="00821B12">
              <w:t xml:space="preserve">in making the grants </w:t>
            </w:r>
            <w:r w:rsidR="007936C6">
              <w:t xml:space="preserve">from the account </w:t>
            </w:r>
            <w:r w:rsidR="00821B12">
              <w:t xml:space="preserve">and </w:t>
            </w:r>
            <w:r w:rsidR="00B715EC">
              <w:t xml:space="preserve">authorizes TDEM </w:t>
            </w:r>
            <w:r w:rsidR="00821B12">
              <w:t xml:space="preserve">to reduce the amount of each grant awarded </w:t>
            </w:r>
            <w:r w:rsidR="00B715EC" w:rsidRPr="00B715EC">
              <w:t>in proportion to the number of individuals served by the grant applicant</w:t>
            </w:r>
            <w:r w:rsidR="00B715EC">
              <w:t xml:space="preserve"> </w:t>
            </w:r>
            <w:r w:rsidR="00821B12">
              <w:t xml:space="preserve">if </w:t>
            </w:r>
            <w:r w:rsidR="00B715EC">
              <w:t>TDEM receives more qualifying applications for a grant from the account than TDEM has available money to fully fund</w:t>
            </w:r>
            <w:r w:rsidR="00821B12">
              <w:t xml:space="preserve">. </w:t>
            </w:r>
          </w:p>
          <w:p w14:paraId="306419A5" w14:textId="63C1EFDF" w:rsidR="00E20C2E" w:rsidRDefault="00E20C2E" w:rsidP="00AA0799">
            <w:pPr>
              <w:pStyle w:val="Header"/>
              <w:jc w:val="both"/>
            </w:pPr>
          </w:p>
          <w:p w14:paraId="221C27D0" w14:textId="1A8AC57B" w:rsidR="00E20C2E" w:rsidRPr="00151AE8" w:rsidRDefault="005C7015" w:rsidP="00AA0799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>Dialysis Infrastructure Account</w:t>
            </w:r>
          </w:p>
          <w:p w14:paraId="752DCC3C" w14:textId="77777777" w:rsidR="00DD67C9" w:rsidRDefault="00DD67C9" w:rsidP="00AA0799">
            <w:pPr>
              <w:pStyle w:val="Header"/>
              <w:jc w:val="both"/>
            </w:pPr>
          </w:p>
          <w:p w14:paraId="3D1BE74A" w14:textId="52341D87" w:rsidR="00821B12" w:rsidRDefault="005C7015" w:rsidP="00AA0799">
            <w:pPr>
              <w:pStyle w:val="Header"/>
              <w:jc w:val="both"/>
            </w:pPr>
            <w:r w:rsidRPr="00821B12">
              <w:t xml:space="preserve">C.S.H.B. 2275 creates </w:t>
            </w:r>
            <w:r w:rsidRPr="00A20239">
              <w:t xml:space="preserve">the </w:t>
            </w:r>
            <w:r>
              <w:t>dialysis</w:t>
            </w:r>
            <w:r w:rsidRPr="00A20239">
              <w:t xml:space="preserve"> infrastructure </w:t>
            </w:r>
            <w:r>
              <w:t xml:space="preserve">account </w:t>
            </w:r>
            <w:r w:rsidRPr="00821B12">
              <w:t xml:space="preserve">as an account </w:t>
            </w:r>
            <w:r w:rsidR="00B715EC">
              <w:t>in</w:t>
            </w:r>
            <w:r w:rsidRPr="00821B12">
              <w:t xml:space="preserve"> the critical infrastructure resiliency fund</w:t>
            </w:r>
            <w:r w:rsidR="00B715EC">
              <w:t xml:space="preserve"> and</w:t>
            </w:r>
            <w:r w:rsidRPr="00821B12">
              <w:t xml:space="preserve"> sets out the composition of the account</w:t>
            </w:r>
            <w:r w:rsidR="00B715EC">
              <w:t>.</w:t>
            </w:r>
            <w:r w:rsidRPr="00821B12">
              <w:t xml:space="preserve"> </w:t>
            </w:r>
            <w:r w:rsidR="00B715EC">
              <w:t>The</w:t>
            </w:r>
            <w:r w:rsidRPr="00821B12">
              <w:t xml:space="preserve"> </w:t>
            </w:r>
            <w:r w:rsidR="00B715EC">
              <w:t xml:space="preserve">bill restricts </w:t>
            </w:r>
            <w:r w:rsidRPr="00821B12">
              <w:t>TDEM</w:t>
            </w:r>
            <w:r w:rsidR="00B715EC">
              <w:t>'s</w:t>
            </w:r>
            <w:r w:rsidRPr="00821B12">
              <w:t xml:space="preserve"> use </w:t>
            </w:r>
            <w:r w:rsidR="00B715EC">
              <w:t xml:space="preserve">of </w:t>
            </w:r>
            <w:r w:rsidRPr="00821B12">
              <w:t>the ac</w:t>
            </w:r>
            <w:r>
              <w:t>count</w:t>
            </w:r>
            <w:r>
              <w:t xml:space="preserve"> to mak</w:t>
            </w:r>
            <w:r w:rsidR="00B715EC">
              <w:t>ing</w:t>
            </w:r>
            <w:r>
              <w:t xml:space="preserve"> matching grants t</w:t>
            </w:r>
            <w:r w:rsidRPr="00821B12">
              <w:t>o end stage renal disease facilities</w:t>
            </w:r>
            <w:r>
              <w:t xml:space="preserve"> </w:t>
            </w:r>
            <w:r w:rsidRPr="00821B12">
              <w:t>for purchasing reserve power supply</w:t>
            </w:r>
            <w:r>
              <w:t xml:space="preserve"> </w:t>
            </w:r>
            <w:r w:rsidRPr="00821B12">
              <w:t>necessary to sustain critical medical care.</w:t>
            </w:r>
            <w:r>
              <w:t xml:space="preserve"> </w:t>
            </w:r>
            <w:r w:rsidR="007461D6">
              <w:t>T</w:t>
            </w:r>
            <w:r w:rsidR="00037BEF">
              <w:t xml:space="preserve">he </w:t>
            </w:r>
            <w:r w:rsidR="00777CDD" w:rsidRPr="00777CDD">
              <w:t xml:space="preserve">bill </w:t>
            </w:r>
            <w:r w:rsidR="007461D6">
              <w:t>sets out</w:t>
            </w:r>
            <w:r w:rsidR="00037BEF">
              <w:t xml:space="preserve"> </w:t>
            </w:r>
            <w:r w:rsidR="00777CDD" w:rsidRPr="00777CDD">
              <w:t xml:space="preserve">certain factors </w:t>
            </w:r>
            <w:r w:rsidR="007461D6">
              <w:t xml:space="preserve">TDEM must consider in making grants from the account </w:t>
            </w:r>
            <w:r w:rsidR="00037BEF">
              <w:t xml:space="preserve">and authorizes </w:t>
            </w:r>
            <w:r w:rsidR="00777CDD" w:rsidRPr="00777CDD">
              <w:t xml:space="preserve">TDEM </w:t>
            </w:r>
            <w:r w:rsidR="00037BEF">
              <w:t xml:space="preserve">to consult with </w:t>
            </w:r>
            <w:r w:rsidR="00037BEF" w:rsidRPr="000A223D">
              <w:t>HHSC</w:t>
            </w:r>
            <w:r w:rsidR="000A223D">
              <w:t xml:space="preserve"> in doing so</w:t>
            </w:r>
            <w:r w:rsidR="007936C6">
              <w:t xml:space="preserve">. </w:t>
            </w:r>
            <w:r>
              <w:t>The bill</w:t>
            </w:r>
            <w:r w:rsidR="0004595F">
              <w:t xml:space="preserve"> authorizes TDEM to </w:t>
            </w:r>
            <w:r w:rsidR="0004595F" w:rsidRPr="0004595F">
              <w:t>reduce the amount of each grant awarded</w:t>
            </w:r>
            <w:r w:rsidR="007461D6">
              <w:t xml:space="preserve"> </w:t>
            </w:r>
            <w:r w:rsidR="007461D6" w:rsidRPr="00B715EC">
              <w:t>in proportion to the number of individuals served by the grant applicant</w:t>
            </w:r>
            <w:r w:rsidR="0004595F" w:rsidRPr="0004595F">
              <w:t xml:space="preserve"> if </w:t>
            </w:r>
            <w:r w:rsidR="007461D6">
              <w:t>TDEM receives more qualifying applications for a grant from the account than TDEM has available money to fully fund</w:t>
            </w:r>
            <w:r w:rsidR="0004595F">
              <w:t xml:space="preserve">. </w:t>
            </w:r>
          </w:p>
          <w:p w14:paraId="66655320" w14:textId="65246062" w:rsidR="00E20C2E" w:rsidRDefault="00E20C2E" w:rsidP="00AA0799">
            <w:pPr>
              <w:pStyle w:val="Header"/>
              <w:jc w:val="both"/>
            </w:pPr>
          </w:p>
          <w:p w14:paraId="3F926DF0" w14:textId="100D9301" w:rsidR="00E20C2E" w:rsidRPr="00151AE8" w:rsidRDefault="005C7015" w:rsidP="00AA0799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>R</w:t>
            </w:r>
            <w:r w:rsidR="005E7964">
              <w:rPr>
                <w:u w:val="single"/>
              </w:rPr>
              <w:t>ulemaking</w:t>
            </w:r>
          </w:p>
          <w:p w14:paraId="2CDA1338" w14:textId="2F26C568" w:rsidR="00D62F9C" w:rsidRDefault="005C7015" w:rsidP="00AA0799">
            <w:pPr>
              <w:pStyle w:val="Header"/>
              <w:jc w:val="both"/>
            </w:pPr>
            <w:r w:rsidRPr="006C59FF">
              <w:t xml:space="preserve"> </w:t>
            </w:r>
          </w:p>
          <w:p w14:paraId="3E3AF723" w14:textId="2B1B6929" w:rsidR="00D62F9C" w:rsidRDefault="005C7015" w:rsidP="00AA0799">
            <w:pPr>
              <w:pStyle w:val="Header"/>
              <w:jc w:val="both"/>
            </w:pPr>
            <w:r>
              <w:t xml:space="preserve">C.S.H.B. 2275 requires </w:t>
            </w:r>
            <w:r w:rsidR="00243FF6">
              <w:t>TDEM</w:t>
            </w:r>
            <w:r>
              <w:t xml:space="preserve"> to adopt rules necessary to carry out </w:t>
            </w:r>
            <w:r w:rsidR="004633C2">
              <w:t xml:space="preserve">the bill's </w:t>
            </w:r>
            <w:r>
              <w:t>provisions</w:t>
            </w:r>
            <w:r w:rsidR="004633C2">
              <w:t xml:space="preserve"> relating to the critical infrastructure resiliency fund</w:t>
            </w:r>
            <w:r w:rsidR="0065727E">
              <w:t xml:space="preserve"> and related accounts</w:t>
            </w:r>
            <w:r>
              <w:t>, including rules for</w:t>
            </w:r>
            <w:r w:rsidR="0065727E">
              <w:t xml:space="preserve"> the</w:t>
            </w:r>
            <w:r>
              <w:t xml:space="preserve"> administr</w:t>
            </w:r>
            <w:r w:rsidR="0065727E">
              <w:t>ation of</w:t>
            </w:r>
            <w:r>
              <w:t xml:space="preserve"> the fund, </w:t>
            </w:r>
            <w:r w:rsidR="0065727E">
              <w:t xml:space="preserve">the </w:t>
            </w:r>
            <w:r>
              <w:t>invest</w:t>
            </w:r>
            <w:r w:rsidR="0065727E">
              <w:t xml:space="preserve">ment of </w:t>
            </w:r>
            <w:r>
              <w:t xml:space="preserve">money, and </w:t>
            </w:r>
            <w:r w:rsidR="0065727E">
              <w:t xml:space="preserve">the </w:t>
            </w:r>
            <w:r>
              <w:t>establish</w:t>
            </w:r>
            <w:r w:rsidR="0065727E">
              <w:t>ment</w:t>
            </w:r>
            <w:r>
              <w:t xml:space="preserve"> </w:t>
            </w:r>
            <w:r w:rsidR="0065727E">
              <w:t xml:space="preserve">of </w:t>
            </w:r>
            <w:r>
              <w:t>procedures for an application for and the award of financial assistance.</w:t>
            </w:r>
            <w:r w:rsidR="00875AD0" w:rsidRPr="00875AD0">
              <w:t xml:space="preserve"> </w:t>
            </w:r>
          </w:p>
          <w:p w14:paraId="5F0EC31F" w14:textId="65264C0C" w:rsidR="00E20C2E" w:rsidRDefault="00E20C2E" w:rsidP="00AA0799">
            <w:pPr>
              <w:pStyle w:val="Header"/>
              <w:jc w:val="both"/>
            </w:pPr>
          </w:p>
          <w:p w14:paraId="09405B87" w14:textId="38DE86DB" w:rsidR="00E20C2E" w:rsidRPr="00151AE8" w:rsidRDefault="005C7015" w:rsidP="00AA0799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Water Loan Assistance </w:t>
            </w:r>
            <w:r w:rsidRPr="000A223D">
              <w:rPr>
                <w:b/>
              </w:rPr>
              <w:t>Program</w:t>
            </w:r>
          </w:p>
          <w:p w14:paraId="7DEDAAC2" w14:textId="277CDF99" w:rsidR="0004595F" w:rsidRDefault="0004595F" w:rsidP="00AA0799">
            <w:pPr>
              <w:pStyle w:val="Header"/>
              <w:jc w:val="both"/>
            </w:pPr>
          </w:p>
          <w:p w14:paraId="7BEA7CA8" w14:textId="69B5D946" w:rsidR="00276BF1" w:rsidRDefault="005C7015" w:rsidP="00AA0799">
            <w:pPr>
              <w:pStyle w:val="Header"/>
              <w:jc w:val="both"/>
            </w:pPr>
            <w:r w:rsidRPr="00AA4CFD">
              <w:t xml:space="preserve">C.S.H.B. 2275 amends the Water Code to </w:t>
            </w:r>
            <w:r w:rsidR="00AA4CFD">
              <w:t xml:space="preserve">authorize the </w:t>
            </w:r>
            <w:r w:rsidR="00AA4CFD" w:rsidRPr="00AA4CFD">
              <w:t>Texas Water Development Board (TWDB)</w:t>
            </w:r>
            <w:r w:rsidR="00AA4CFD">
              <w:t xml:space="preserve"> to use the water </w:t>
            </w:r>
            <w:r w:rsidR="00AA4CFD" w:rsidRPr="00AA4CFD">
              <w:t>loan</w:t>
            </w:r>
            <w:r w:rsidR="00AA4CFD">
              <w:t xml:space="preserve"> assistance</w:t>
            </w:r>
            <w:r w:rsidR="00AA4CFD" w:rsidRPr="00AA4CFD">
              <w:t xml:space="preserve"> fund </w:t>
            </w:r>
            <w:r w:rsidR="00AA4CFD">
              <w:t>to</w:t>
            </w:r>
            <w:r w:rsidR="00AA4CFD" w:rsidRPr="00AA4CFD">
              <w:t xml:space="preserve"> provide</w:t>
            </w:r>
            <w:r w:rsidR="00AA4CFD">
              <w:t xml:space="preserve"> grants for projects to harden and weatherize water and wastewater systems in Texas</w:t>
            </w:r>
            <w:r w:rsidR="0065727E">
              <w:t>, including covering wells, purchasing reserve power supply, and building connectivity to neighboring water suppliers</w:t>
            </w:r>
            <w:r w:rsidR="00AA4CFD">
              <w:t xml:space="preserve">. The bill </w:t>
            </w:r>
            <w:r w:rsidR="0065727E">
              <w:t>sets out certain factors the</w:t>
            </w:r>
            <w:r w:rsidR="00AA4CFD">
              <w:t xml:space="preserve"> </w:t>
            </w:r>
            <w:r w:rsidR="00175648">
              <w:t xml:space="preserve">TWDB </w:t>
            </w:r>
            <w:r w:rsidR="0065727E">
              <w:t>mus</w:t>
            </w:r>
            <w:r w:rsidR="00175648">
              <w:t xml:space="preserve">t consider </w:t>
            </w:r>
            <w:r w:rsidR="0065727E">
              <w:t xml:space="preserve">in passing on an application </w:t>
            </w:r>
            <w:r w:rsidR="0065727E" w:rsidRPr="000A223D">
              <w:t xml:space="preserve">for </w:t>
            </w:r>
            <w:r w:rsidR="000A223D">
              <w:t xml:space="preserve">such </w:t>
            </w:r>
            <w:r w:rsidR="0065727E" w:rsidRPr="000A223D">
              <w:t>a grant</w:t>
            </w:r>
            <w:r w:rsidR="00175648">
              <w:t xml:space="preserve"> </w:t>
            </w:r>
            <w:r w:rsidR="00175648" w:rsidRPr="00175648">
              <w:t xml:space="preserve">and </w:t>
            </w:r>
            <w:r w:rsidR="0065727E">
              <w:t xml:space="preserve">requires the TWDB to </w:t>
            </w:r>
            <w:r w:rsidR="00175648" w:rsidRPr="00175648">
              <w:t>consult with TDEM</w:t>
            </w:r>
            <w:r w:rsidR="00175648">
              <w:t xml:space="preserve"> </w:t>
            </w:r>
            <w:r w:rsidR="00175648" w:rsidRPr="000A223D">
              <w:t xml:space="preserve">in </w:t>
            </w:r>
            <w:r w:rsidR="0065727E" w:rsidRPr="000A223D">
              <w:t>doing so</w:t>
            </w:r>
            <w:r w:rsidR="00175648">
              <w:t xml:space="preserve">. The bill requires </w:t>
            </w:r>
            <w:r w:rsidR="0065727E">
              <w:t>the TWDB to condition each</w:t>
            </w:r>
            <w:r w:rsidR="00F921B2">
              <w:t xml:space="preserve"> </w:t>
            </w:r>
            <w:r w:rsidR="00293AD1">
              <w:t>gr</w:t>
            </w:r>
            <w:r w:rsidR="00F921B2">
              <w:t xml:space="preserve">ant </w:t>
            </w:r>
            <w:r w:rsidR="0065727E" w:rsidRPr="000A223D">
              <w:t>awarded</w:t>
            </w:r>
            <w:r w:rsidR="0065727E">
              <w:t xml:space="preserve"> on the </w:t>
            </w:r>
            <w:r>
              <w:t xml:space="preserve">grant </w:t>
            </w:r>
            <w:r w:rsidR="00F921B2">
              <w:t>recipient</w:t>
            </w:r>
            <w:r w:rsidR="00293AD1" w:rsidRPr="00293AD1">
              <w:t xml:space="preserve"> provid</w:t>
            </w:r>
            <w:r w:rsidR="0065727E">
              <w:t>ing</w:t>
            </w:r>
            <w:r w:rsidR="00293AD1" w:rsidRPr="00293AD1">
              <w:t xml:space="preserve"> </w:t>
            </w:r>
            <w:r>
              <w:t>fund</w:t>
            </w:r>
            <w:r>
              <w:t>s</w:t>
            </w:r>
            <w:r w:rsidRPr="00276BF1">
              <w:t xml:space="preserve"> from non-state sources in a total amount at least equal to 10 percent of the grant amount, with at least five percent of the recipient's match coming from local sources.</w:t>
            </w:r>
          </w:p>
          <w:p w14:paraId="725BE38B" w14:textId="6D3F5321" w:rsidR="001E118D" w:rsidRPr="006C59FF" w:rsidRDefault="001E118D" w:rsidP="00AA0799">
            <w:pPr>
              <w:pStyle w:val="Header"/>
              <w:jc w:val="both"/>
            </w:pPr>
          </w:p>
        </w:tc>
      </w:tr>
      <w:tr w:rsidR="00E305EA" w14:paraId="261F6300" w14:textId="77777777" w:rsidTr="00345119">
        <w:tc>
          <w:tcPr>
            <w:tcW w:w="9576" w:type="dxa"/>
          </w:tcPr>
          <w:p w14:paraId="79DF612F" w14:textId="4AC62752" w:rsidR="008423E4" w:rsidRPr="00A8133F" w:rsidRDefault="005C7015" w:rsidP="00AA07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A0491B" w14:textId="77777777" w:rsidR="008423E4" w:rsidRDefault="008423E4" w:rsidP="00AA0799"/>
          <w:p w14:paraId="48265C63" w14:textId="77777777" w:rsidR="008423E4" w:rsidRDefault="005C7015" w:rsidP="00AA0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81826">
              <w:t>January 1, 2022</w:t>
            </w:r>
            <w:r w:rsidR="005E7964" w:rsidRPr="00181826">
              <w:t>, except that the effect of provisions establishing the critical infrastructure resiliency fund and related accounts is contingent on voter approval of a corresponding constitutional amendment</w:t>
            </w:r>
            <w:r w:rsidR="00BB18AA" w:rsidRPr="00181826">
              <w:t>.</w:t>
            </w:r>
          </w:p>
          <w:p w14:paraId="470F0429" w14:textId="0DE5E8F3" w:rsidR="00AA0799" w:rsidRPr="006C59FF" w:rsidRDefault="00AA0799" w:rsidP="00AA07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305EA" w14:paraId="014BA20F" w14:textId="77777777" w:rsidTr="00345119">
        <w:tc>
          <w:tcPr>
            <w:tcW w:w="9576" w:type="dxa"/>
          </w:tcPr>
          <w:p w14:paraId="0E07E1E4" w14:textId="2F0A4E46" w:rsidR="007429E6" w:rsidRPr="00CF2E95" w:rsidRDefault="005C7015" w:rsidP="00AA07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2CF0E44" w14:textId="77777777" w:rsidR="00151446" w:rsidRDefault="00151446" w:rsidP="00AA0799">
            <w:pPr>
              <w:jc w:val="both"/>
            </w:pPr>
          </w:p>
          <w:p w14:paraId="7D7E9CC2" w14:textId="2683A148" w:rsidR="00D23AC0" w:rsidRDefault="005C7015" w:rsidP="00AA0799">
            <w:pPr>
              <w:jc w:val="both"/>
            </w:pPr>
            <w:r>
              <w:t xml:space="preserve">While C.S.H.B. 2275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67DF6666" w14:textId="77777777" w:rsidR="00D23AC0" w:rsidRDefault="00D23AC0" w:rsidP="00AA0799">
            <w:pPr>
              <w:jc w:val="both"/>
            </w:pPr>
          </w:p>
          <w:p w14:paraId="589B0A42" w14:textId="6F071DEE" w:rsidR="00C358D0" w:rsidRDefault="005C7015" w:rsidP="00AA0799">
            <w:pPr>
              <w:jc w:val="both"/>
            </w:pPr>
            <w:r>
              <w:t>While both</w:t>
            </w:r>
            <w:r w:rsidR="00D23AC0">
              <w:t xml:space="preserve"> the original and the substitute create the critical infrastructure resiliency fund</w:t>
            </w:r>
            <w:r>
              <w:t xml:space="preserve"> and certain accou</w:t>
            </w:r>
            <w:r>
              <w:t>nts in the fund, t</w:t>
            </w:r>
            <w:r w:rsidR="007429E6">
              <w:t xml:space="preserve">he substitute </w:t>
            </w:r>
            <w:r>
              <w:t>revises</w:t>
            </w:r>
            <w:r w:rsidR="007429E6">
              <w:t xml:space="preserve"> </w:t>
            </w:r>
            <w:r w:rsidR="00D10C00">
              <w:t>the original's provisions</w:t>
            </w:r>
            <w:r>
              <w:t xml:space="preserve"> as follows:</w:t>
            </w:r>
          </w:p>
          <w:p w14:paraId="342071BE" w14:textId="1EC36892" w:rsidR="0088605A" w:rsidRDefault="005C7015" w:rsidP="00AA079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 w:rsidRPr="002B60B9">
              <w:t>changes</w:t>
            </w:r>
            <w:r w:rsidR="00D10C00" w:rsidRPr="002B60B9">
              <w:t xml:space="preserve"> the</w:t>
            </w:r>
            <w:r w:rsidR="007429E6" w:rsidRPr="002B60B9">
              <w:t xml:space="preserve"> composition of the fund</w:t>
            </w:r>
            <w:r w:rsidR="00D10C00" w:rsidRPr="002B60B9">
              <w:t xml:space="preserve"> </w:t>
            </w:r>
            <w:r w:rsidRPr="002B60B9">
              <w:t xml:space="preserve">by omitting from the sources of revenue proceeds of general obligation bonds issued for </w:t>
            </w:r>
            <w:r w:rsidR="002B60B9">
              <w:t>a</w:t>
            </w:r>
            <w:r w:rsidRPr="002B60B9">
              <w:t xml:space="preserve"> purpose of the fund;</w:t>
            </w:r>
          </w:p>
          <w:p w14:paraId="184B930B" w14:textId="2EEAC13C" w:rsidR="003411D7" w:rsidRDefault="005C7015" w:rsidP="00AA079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with respect to the accounts in</w:t>
            </w:r>
            <w:r>
              <w:t xml:space="preserve"> the fund:</w:t>
            </w:r>
          </w:p>
          <w:p w14:paraId="7F03F5C2" w14:textId="5CD41DEC" w:rsidR="00BF0034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clarifies which entities are eligible to receive grants under each account, whereas the original established eligibility for grants under the fund generally; </w:t>
            </w:r>
          </w:p>
          <w:p w14:paraId="17EF07B3" w14:textId="498F7E15" w:rsidR="0088605A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changes the entities eligible to receive a grant from the electric grid </w:t>
            </w:r>
            <w:r w:rsidR="00966251">
              <w:t>improvement</w:t>
            </w:r>
            <w:r w:rsidR="00450922">
              <w:t xml:space="preserve"> account</w:t>
            </w:r>
            <w:r>
              <w:t xml:space="preserve"> to remove investor-owned utilities and include transmission and distribution utilities and vertically integrated utilities;</w:t>
            </w:r>
          </w:p>
          <w:p w14:paraId="27F39B23" w14:textId="20E4CBB0" w:rsidR="00450922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changes the purposes for which grants may be made from the electric grid </w:t>
            </w:r>
            <w:r w:rsidR="00ED2F96">
              <w:t>improvement</w:t>
            </w:r>
            <w:r>
              <w:t xml:space="preserve"> account from activities related to locali</w:t>
            </w:r>
            <w:r>
              <w:t>zed improvements to the electric grid and other energy systems with onsite generation and improvements at and between buildings to create micro-grids using onsite generation and energy storage, as in the original, to hardening and weatherizing the electric</w:t>
            </w:r>
            <w:r>
              <w:t xml:space="preserve"> grid;</w:t>
            </w:r>
          </w:p>
          <w:p w14:paraId="050D01B5" w14:textId="0466F389" w:rsidR="00450922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prohibits TDEM from using the electric grid </w:t>
            </w:r>
            <w:r w:rsidR="00966251">
              <w:t>improvement</w:t>
            </w:r>
            <w:r>
              <w:t xml:space="preserve"> account</w:t>
            </w:r>
            <w:r w:rsidR="00702B8F">
              <w:t xml:space="preserve"> to make grants for routine vegetation management;</w:t>
            </w:r>
          </w:p>
          <w:p w14:paraId="1FA41912" w14:textId="79609B4A" w:rsidR="003411D7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>re</w:t>
            </w:r>
            <w:r w:rsidR="000F2E12">
              <w:t>names</w:t>
            </w:r>
            <w:r>
              <w:t xml:space="preserve"> the medical infrastructure resiliency account, </w:t>
            </w:r>
            <w:r w:rsidRPr="002B60B9">
              <w:t xml:space="preserve">which </w:t>
            </w:r>
            <w:r w:rsidR="002B60B9">
              <w:t xml:space="preserve">the original established to </w:t>
            </w:r>
            <w:r w:rsidRPr="002B60B9">
              <w:t xml:space="preserve">provide grants to </w:t>
            </w:r>
            <w:r w:rsidR="00702B8F" w:rsidRPr="002B60B9">
              <w:t>government-owned, non-profit, and for-profit hospitals</w:t>
            </w:r>
            <w:r>
              <w:t xml:space="preserve">, </w:t>
            </w:r>
            <w:r w:rsidR="000F2E12">
              <w:t>as</w:t>
            </w:r>
            <w:r>
              <w:t xml:space="preserve"> the hospital infrastructure resiliency account</w:t>
            </w:r>
            <w:r w:rsidR="00702B8F">
              <w:t xml:space="preserve"> and</w:t>
            </w:r>
            <w:r>
              <w:t xml:space="preserve"> </w:t>
            </w:r>
            <w:r w:rsidRPr="002B60B9">
              <w:t>limit</w:t>
            </w:r>
            <w:r w:rsidR="00702B8F" w:rsidRPr="002B60B9">
              <w:t>s</w:t>
            </w:r>
            <w:r w:rsidRPr="002B60B9">
              <w:t xml:space="preserve"> the government-owned hospitals eligible for a grant from the account to municipally</w:t>
            </w:r>
            <w:r w:rsidR="004A0A6D">
              <w:t xml:space="preserve"> </w:t>
            </w:r>
            <w:r w:rsidRPr="002B60B9">
              <w:t>owned hospitals</w:t>
            </w:r>
            <w:r>
              <w:t>;</w:t>
            </w:r>
          </w:p>
          <w:p w14:paraId="2A4CD2BE" w14:textId="630EEC7B" w:rsidR="003411D7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 w:rsidRPr="00966251">
              <w:t>omits</w:t>
            </w:r>
            <w:r>
              <w:t xml:space="preserve"> the local communications resiliency account and no longer provides for grants to be made to </w:t>
            </w:r>
            <w:r w:rsidR="00754B91">
              <w:t>telecommunications providers</w:t>
            </w:r>
            <w:r>
              <w:t>;</w:t>
            </w:r>
            <w:r w:rsidR="00754B91">
              <w:t xml:space="preserve"> and</w:t>
            </w:r>
          </w:p>
          <w:p w14:paraId="1BBE3C52" w14:textId="7C12B77F" w:rsidR="003411D7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creates the nursing home resiliency account and the dialysis infrastructure account for purposes of making grants to </w:t>
            </w:r>
            <w:r>
              <w:t>state-licensed convalescent and nursing facilities and other related institutions and end stage renal disease facilities, which were not included among the entities eligible for grants in the original</w:t>
            </w:r>
            <w:r w:rsidR="00754B91">
              <w:t>;</w:t>
            </w:r>
          </w:p>
          <w:p w14:paraId="5237F4C3" w14:textId="77777777" w:rsidR="00E42FF1" w:rsidRDefault="005C7015" w:rsidP="00AA079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with respect to the factors TDEM must consider in maki</w:t>
            </w:r>
            <w:r>
              <w:t>ng grants:</w:t>
            </w:r>
          </w:p>
          <w:p w14:paraId="592D0285" w14:textId="4FF487AD" w:rsidR="00450922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omits as a consideration </w:t>
            </w:r>
            <w:r w:rsidR="00754B91">
              <w:t xml:space="preserve">whether a </w:t>
            </w:r>
            <w:r>
              <w:t>project utilize</w:t>
            </w:r>
            <w:r w:rsidR="00754B91">
              <w:t>s</w:t>
            </w:r>
            <w:r>
              <w:t xml:space="preserve"> distributed </w:t>
            </w:r>
            <w:r w:rsidR="00AE6DA2">
              <w:t>energy</w:t>
            </w:r>
            <w:r>
              <w:t xml:space="preserve"> resources; and</w:t>
            </w:r>
          </w:p>
          <w:p w14:paraId="302355C1" w14:textId="77777777" w:rsidR="00450922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>excludes the nursing home resiliency account from accounts for which TDEM must make those considerations when making a grant;</w:t>
            </w:r>
          </w:p>
          <w:p w14:paraId="59D6C592" w14:textId="77777777" w:rsidR="006E7934" w:rsidRDefault="005C7015" w:rsidP="00AA079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with respect to the matching requ</w:t>
            </w:r>
            <w:r>
              <w:t>irements:</w:t>
            </w:r>
          </w:p>
          <w:p w14:paraId="77083047" w14:textId="0F7EFD74" w:rsidR="006E7934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>
              <w:t xml:space="preserve">changes the matching requirement for for-profit hospitals from </w:t>
            </w:r>
            <w:r w:rsidRPr="003C2B3F">
              <w:t xml:space="preserve">a match of at least 50 percent </w:t>
            </w:r>
            <w:r>
              <w:t xml:space="preserve">of the grant amount </w:t>
            </w:r>
            <w:r w:rsidRPr="003C2B3F">
              <w:t xml:space="preserve">with at least 30 percent of that </w:t>
            </w:r>
            <w:r>
              <w:t xml:space="preserve">coming directly from the entity to </w:t>
            </w:r>
            <w:r w:rsidRPr="003C2B3F">
              <w:t>a match of at least 10 percent with at least 5 percent of that m</w:t>
            </w:r>
            <w:r w:rsidRPr="003C2B3F">
              <w:t>atch coming from local sources</w:t>
            </w:r>
            <w:r>
              <w:t xml:space="preserve">, which is in line with the matching requirement for all other entities receiving grants from the fund's accounts; and </w:t>
            </w:r>
          </w:p>
          <w:p w14:paraId="164160FC" w14:textId="4C823E79" w:rsidR="003C2B3F" w:rsidRDefault="005C7015" w:rsidP="00AA0799">
            <w:pPr>
              <w:pStyle w:val="ListParagraph"/>
              <w:numPr>
                <w:ilvl w:val="1"/>
                <w:numId w:val="6"/>
              </w:numPr>
              <w:contextualSpacing w:val="0"/>
              <w:jc w:val="both"/>
            </w:pPr>
            <w:r w:rsidRPr="008F3B30">
              <w:t>clarifies that the 10 percent matching requirement applies with respect to non-state funding sources;</w:t>
            </w:r>
            <w:r w:rsidR="00DC4B8D" w:rsidRPr="008F3B30">
              <w:t xml:space="preserve"> and</w:t>
            </w:r>
          </w:p>
          <w:p w14:paraId="4615107C" w14:textId="7305C924" w:rsidR="007429E6" w:rsidRDefault="005C7015" w:rsidP="00AA0799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authorizes TDEM to consult with the PUC and with HHSC, as appropriate, in making grants from the various accounts</w:t>
            </w:r>
            <w:r w:rsidR="00DC4B8D">
              <w:t>.</w:t>
            </w:r>
          </w:p>
          <w:p w14:paraId="11CA8EC3" w14:textId="209928F7" w:rsidR="00DE0F5B" w:rsidRDefault="00DE0F5B" w:rsidP="00AA0799">
            <w:pPr>
              <w:jc w:val="both"/>
            </w:pPr>
          </w:p>
          <w:p w14:paraId="45A0BAFF" w14:textId="517E6BF9" w:rsidR="00B40678" w:rsidRDefault="005C7015" w:rsidP="00AA0799">
            <w:pPr>
              <w:jc w:val="both"/>
            </w:pPr>
            <w:r>
              <w:t xml:space="preserve">Both the original and substitute provide for </w:t>
            </w:r>
            <w:r w:rsidRPr="00003E21">
              <w:t>grants to be made</w:t>
            </w:r>
            <w:r>
              <w:t xml:space="preserve"> for projects to weatherize and harden water </w:t>
            </w:r>
            <w:r w:rsidR="00033A19">
              <w:t xml:space="preserve">and wastewater </w:t>
            </w:r>
            <w:r>
              <w:t>systems</w:t>
            </w:r>
            <w:r w:rsidR="00033A19">
              <w:t xml:space="preserve"> in Texas</w:t>
            </w:r>
            <w:r>
              <w:t xml:space="preserve">. </w:t>
            </w:r>
            <w:r w:rsidR="00033A19">
              <w:t>However</w:t>
            </w:r>
            <w:r w:rsidR="00033A19" w:rsidRPr="00003E21">
              <w:t>, whereas</w:t>
            </w:r>
            <w:r w:rsidR="00033A19">
              <w:t xml:space="preserve"> t</w:t>
            </w:r>
            <w:r>
              <w:t xml:space="preserve">he original created the water infrastructure resiliency fund to be used by </w:t>
            </w:r>
            <w:r w:rsidR="00033A19">
              <w:t xml:space="preserve">the </w:t>
            </w:r>
            <w:r>
              <w:t>TWDB to make grants to eligible entities for weatherizing and hardenin</w:t>
            </w:r>
            <w:r w:rsidR="00E73785">
              <w:t>g water and wastewater systems</w:t>
            </w:r>
            <w:r w:rsidR="00C97446">
              <w:t>,</w:t>
            </w:r>
            <w:r w:rsidR="00E73785">
              <w:t xml:space="preserve"> </w:t>
            </w:r>
            <w:r w:rsidR="00033A19">
              <w:t>t</w:t>
            </w:r>
            <w:r w:rsidR="00E73785">
              <w:t xml:space="preserve">he substitute instead </w:t>
            </w:r>
            <w:r w:rsidR="00E73785" w:rsidRPr="00E73785">
              <w:t>authorize</w:t>
            </w:r>
            <w:r w:rsidR="009224D0">
              <w:t>s</w:t>
            </w:r>
            <w:r w:rsidR="00033A19">
              <w:t xml:space="preserve"> the</w:t>
            </w:r>
            <w:r w:rsidR="00E73785" w:rsidRPr="00E73785">
              <w:t xml:space="preserve"> </w:t>
            </w:r>
            <w:r w:rsidR="00E73785">
              <w:t>TWDB</w:t>
            </w:r>
            <w:r w:rsidR="00E73785" w:rsidRPr="00E73785">
              <w:t xml:space="preserve"> to use the</w:t>
            </w:r>
            <w:r w:rsidR="00E73785">
              <w:t xml:space="preserve"> existing</w:t>
            </w:r>
            <w:r w:rsidR="00E73785" w:rsidRPr="00E73785">
              <w:t xml:space="preserve"> water loan assistance fund to provide grants for </w:t>
            </w:r>
            <w:r w:rsidR="00E73785" w:rsidRPr="00003E21">
              <w:t>such projects</w:t>
            </w:r>
            <w:r w:rsidR="00033A19">
              <w:t>.</w:t>
            </w:r>
            <w:r w:rsidR="00E73785">
              <w:t xml:space="preserve"> </w:t>
            </w:r>
            <w:r w:rsidR="005B3E8B">
              <w:t xml:space="preserve">By nature of this, the entities eligible for the grants changes. </w:t>
            </w:r>
            <w:r w:rsidR="00276BF1">
              <w:t>Under the original's provisions,</w:t>
            </w:r>
            <w:r w:rsidR="006D096C" w:rsidRPr="00276BF1">
              <w:t xml:space="preserve"> </w:t>
            </w:r>
            <w:r w:rsidR="005B3E8B" w:rsidRPr="00276BF1">
              <w:t xml:space="preserve">local government entities, nonprofits, and investor-owned entities that provide water or wastewater services were eligible for a grant from the </w:t>
            </w:r>
            <w:r w:rsidR="00276BF1">
              <w:t xml:space="preserve">established </w:t>
            </w:r>
            <w:r w:rsidR="005B3E8B" w:rsidRPr="00276BF1">
              <w:t>resiliency fund</w:t>
            </w:r>
            <w:r w:rsidR="005B3E8B">
              <w:t xml:space="preserve">, </w:t>
            </w:r>
            <w:r w:rsidR="00276BF1">
              <w:t xml:space="preserve">whereas </w:t>
            </w:r>
            <w:r w:rsidR="005B3E8B">
              <w:t>political subdivisions and federal agencies are the only entities eligible for assistance from the water loan assistance fund.</w:t>
            </w:r>
            <w:r>
              <w:t xml:space="preserve"> Additionally, the substitute mak</w:t>
            </w:r>
            <w:r>
              <w:t>es the following changes:</w:t>
            </w:r>
          </w:p>
          <w:p w14:paraId="6CCA8F55" w14:textId="22A4C38D" w:rsidR="00B40678" w:rsidRDefault="005C7015" w:rsidP="00AA0799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omits from the factors the TWDB must consider in acting on grant applications</w:t>
            </w:r>
            <w:r w:rsidR="00457222">
              <w:t>,</w:t>
            </w:r>
            <w:r>
              <w:t xml:space="preserve"> </w:t>
            </w:r>
            <w:r w:rsidRPr="00457222">
              <w:t>as set out by the original</w:t>
            </w:r>
            <w:r w:rsidR="00457222">
              <w:t>,</w:t>
            </w:r>
            <w:r>
              <w:t xml:space="preserve"> whether the project utilizes distributed </w:t>
            </w:r>
            <w:r w:rsidR="00276BF1">
              <w:t xml:space="preserve">energy </w:t>
            </w:r>
            <w:r>
              <w:t>resources</w:t>
            </w:r>
            <w:r w:rsidR="006E7934">
              <w:t>;</w:t>
            </w:r>
          </w:p>
          <w:p w14:paraId="44C27B4E" w14:textId="77777777" w:rsidR="006E7934" w:rsidRDefault="005C7015" w:rsidP="00AA0799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requires the TWDB to consult with TDEM in passing on a grant app</w:t>
            </w:r>
            <w:r>
              <w:t>lication; and</w:t>
            </w:r>
          </w:p>
          <w:p w14:paraId="712A32C5" w14:textId="56DC40DC" w:rsidR="00DE0F5B" w:rsidRDefault="005C7015" w:rsidP="00AA0799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clarifies that the 10 percent matching requirement applies with respect to non-state funding sources</w:t>
            </w:r>
            <w:r w:rsidR="00B40678">
              <w:t>.</w:t>
            </w:r>
          </w:p>
          <w:p w14:paraId="2315EE2C" w14:textId="570337C8" w:rsidR="00E73785" w:rsidRDefault="00E73785" w:rsidP="00AA0799">
            <w:pPr>
              <w:jc w:val="both"/>
            </w:pPr>
          </w:p>
          <w:p w14:paraId="62AC2671" w14:textId="0F3B8D7E" w:rsidR="007429E6" w:rsidRPr="007429E6" w:rsidRDefault="005C7015" w:rsidP="00AA0799">
            <w:pPr>
              <w:jc w:val="both"/>
            </w:pPr>
            <w:r>
              <w:t>Because the substitute amends provisions relating to the existing water loan assistance fund rather than creating a new water infrastructur</w:t>
            </w:r>
            <w:r>
              <w:t>e resiliency fund, as in the original, the substitute updates the bill's effective date provision</w:t>
            </w:r>
            <w:r w:rsidR="005F5CA4" w:rsidRPr="005F5CA4">
              <w:t xml:space="preserve"> </w:t>
            </w:r>
            <w:r w:rsidR="00033A19">
              <w:t xml:space="preserve">to account for the fact that the </w:t>
            </w:r>
            <w:r w:rsidR="00033A19" w:rsidRPr="00457222">
              <w:t xml:space="preserve">entirety of the bill is not contingent on the approval of </w:t>
            </w:r>
            <w:r w:rsidR="005F5CA4" w:rsidRPr="00457222">
              <w:t xml:space="preserve">the </w:t>
            </w:r>
            <w:r w:rsidR="00033A19" w:rsidRPr="00457222">
              <w:t xml:space="preserve">corresponding </w:t>
            </w:r>
            <w:r w:rsidR="005F5CA4" w:rsidRPr="00457222">
              <w:t>constitutional amendment</w:t>
            </w:r>
            <w:r w:rsidR="00033A19" w:rsidRPr="00457222">
              <w:t>.</w:t>
            </w:r>
          </w:p>
        </w:tc>
      </w:tr>
      <w:tr w:rsidR="00E305EA" w14:paraId="64F4471B" w14:textId="77777777" w:rsidTr="00345119">
        <w:tc>
          <w:tcPr>
            <w:tcW w:w="9576" w:type="dxa"/>
          </w:tcPr>
          <w:p w14:paraId="66F1CA8C" w14:textId="77777777" w:rsidR="00397D03" w:rsidRPr="009C1E9A" w:rsidRDefault="00397D03" w:rsidP="00AA0799">
            <w:pPr>
              <w:rPr>
                <w:b/>
                <w:u w:val="single"/>
              </w:rPr>
            </w:pPr>
          </w:p>
        </w:tc>
      </w:tr>
      <w:tr w:rsidR="00E305EA" w14:paraId="07D8275B" w14:textId="77777777" w:rsidTr="00345119">
        <w:tc>
          <w:tcPr>
            <w:tcW w:w="9576" w:type="dxa"/>
          </w:tcPr>
          <w:p w14:paraId="138F9F1F" w14:textId="77777777" w:rsidR="00397D03" w:rsidRPr="00237A6D" w:rsidRDefault="00397D03" w:rsidP="00AA0799">
            <w:pPr>
              <w:jc w:val="both"/>
            </w:pPr>
          </w:p>
        </w:tc>
      </w:tr>
    </w:tbl>
    <w:p w14:paraId="1D25C321" w14:textId="77777777" w:rsidR="008423E4" w:rsidRPr="00BE0E75" w:rsidRDefault="008423E4" w:rsidP="00AA0799">
      <w:pPr>
        <w:jc w:val="both"/>
        <w:rPr>
          <w:rFonts w:ascii="Arial" w:hAnsi="Arial"/>
          <w:sz w:val="16"/>
          <w:szCs w:val="16"/>
        </w:rPr>
      </w:pPr>
    </w:p>
    <w:p w14:paraId="4CBB9172" w14:textId="77777777" w:rsidR="004108C3" w:rsidRPr="008423E4" w:rsidRDefault="004108C3" w:rsidP="00AA079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FC7F" w14:textId="77777777" w:rsidR="00000000" w:rsidRDefault="005C7015">
      <w:r>
        <w:separator/>
      </w:r>
    </w:p>
  </w:endnote>
  <w:endnote w:type="continuationSeparator" w:id="0">
    <w:p w14:paraId="246D37CA" w14:textId="77777777" w:rsidR="00000000" w:rsidRDefault="005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354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05EA" w14:paraId="4BC57881" w14:textId="77777777" w:rsidTr="009C1E9A">
      <w:trPr>
        <w:cantSplit/>
      </w:trPr>
      <w:tc>
        <w:tcPr>
          <w:tcW w:w="0" w:type="pct"/>
        </w:tcPr>
        <w:p w14:paraId="0E7592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8812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3869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461E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135C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05EA" w14:paraId="1F05222B" w14:textId="77777777" w:rsidTr="009C1E9A">
      <w:trPr>
        <w:cantSplit/>
      </w:trPr>
      <w:tc>
        <w:tcPr>
          <w:tcW w:w="0" w:type="pct"/>
        </w:tcPr>
        <w:p w14:paraId="71ACD4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60A145" w14:textId="72174A6E" w:rsidR="00EC379B" w:rsidRPr="009C1E9A" w:rsidRDefault="005C7015" w:rsidP="00397D0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23727</w:t>
          </w:r>
        </w:p>
      </w:tc>
      <w:tc>
        <w:tcPr>
          <w:tcW w:w="2453" w:type="pct"/>
        </w:tcPr>
        <w:p w14:paraId="2C17903C" w14:textId="55272D67" w:rsidR="00EC379B" w:rsidRDefault="005C70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11CB4">
            <w:t>21.122.176</w:t>
          </w:r>
          <w:r>
            <w:fldChar w:fldCharType="end"/>
          </w:r>
        </w:p>
      </w:tc>
    </w:tr>
    <w:tr w:rsidR="00E305EA" w14:paraId="0CDE46BE" w14:textId="77777777" w:rsidTr="009C1E9A">
      <w:trPr>
        <w:cantSplit/>
      </w:trPr>
      <w:tc>
        <w:tcPr>
          <w:tcW w:w="0" w:type="pct"/>
        </w:tcPr>
        <w:p w14:paraId="22FC935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ACD0D6" w14:textId="1C9171A0" w:rsidR="00EC379B" w:rsidRPr="009C1E9A" w:rsidRDefault="005C70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21983</w:t>
          </w:r>
        </w:p>
      </w:tc>
      <w:tc>
        <w:tcPr>
          <w:tcW w:w="2453" w:type="pct"/>
        </w:tcPr>
        <w:p w14:paraId="56D47AF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7ED5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05EA" w14:paraId="5BE7B2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4C8BE3" w14:textId="2476897B" w:rsidR="00EC379B" w:rsidRDefault="005C70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079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9F6B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BF28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90E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B6A5C" w14:textId="77777777" w:rsidR="00000000" w:rsidRDefault="005C7015">
      <w:r>
        <w:separator/>
      </w:r>
    </w:p>
  </w:footnote>
  <w:footnote w:type="continuationSeparator" w:id="0">
    <w:p w14:paraId="43F07EC2" w14:textId="77777777" w:rsidR="00000000" w:rsidRDefault="005C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B5F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B40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D2F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E2A"/>
    <w:multiLevelType w:val="hybridMultilevel"/>
    <w:tmpl w:val="B28E8042"/>
    <w:lvl w:ilvl="0" w:tplc="98C2A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CB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8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5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9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26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D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00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E3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5CA"/>
    <w:multiLevelType w:val="hybridMultilevel"/>
    <w:tmpl w:val="20D04E6E"/>
    <w:lvl w:ilvl="0" w:tplc="54629D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50FE3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4A005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9D83AF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F82262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D42E51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7DC864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A1AF70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20ED83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A703F"/>
    <w:multiLevelType w:val="hybridMultilevel"/>
    <w:tmpl w:val="C012E812"/>
    <w:lvl w:ilvl="0" w:tplc="63565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B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CC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8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C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E8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8E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E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E7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60F0"/>
    <w:multiLevelType w:val="hybridMultilevel"/>
    <w:tmpl w:val="613EE46C"/>
    <w:lvl w:ilvl="0" w:tplc="ADB46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07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4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89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F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2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07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67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EA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412B"/>
    <w:multiLevelType w:val="hybridMultilevel"/>
    <w:tmpl w:val="AD7E707A"/>
    <w:lvl w:ilvl="0" w:tplc="F4285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A6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EA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84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3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22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29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C6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8D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06BC2"/>
    <w:multiLevelType w:val="hybridMultilevel"/>
    <w:tmpl w:val="8ACE7CD4"/>
    <w:lvl w:ilvl="0" w:tplc="91C23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88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84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2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0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05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C4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9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08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F0B34"/>
    <w:multiLevelType w:val="hybridMultilevel"/>
    <w:tmpl w:val="18327B58"/>
    <w:lvl w:ilvl="0" w:tplc="2542D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2E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6A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C0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0A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8E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00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E4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C5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9"/>
    <w:rsid w:val="00000A70"/>
    <w:rsid w:val="000032B8"/>
    <w:rsid w:val="00003B06"/>
    <w:rsid w:val="00003E21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A19"/>
    <w:rsid w:val="0003572D"/>
    <w:rsid w:val="00035DB0"/>
    <w:rsid w:val="00037088"/>
    <w:rsid w:val="00037BEF"/>
    <w:rsid w:val="000400D5"/>
    <w:rsid w:val="00043B84"/>
    <w:rsid w:val="0004512B"/>
    <w:rsid w:val="0004595F"/>
    <w:rsid w:val="000463F0"/>
    <w:rsid w:val="00046BDA"/>
    <w:rsid w:val="0004762E"/>
    <w:rsid w:val="000532BD"/>
    <w:rsid w:val="00053665"/>
    <w:rsid w:val="00055C12"/>
    <w:rsid w:val="000608B0"/>
    <w:rsid w:val="0006104C"/>
    <w:rsid w:val="00061AF8"/>
    <w:rsid w:val="00064BF2"/>
    <w:rsid w:val="000667BA"/>
    <w:rsid w:val="000676A7"/>
    <w:rsid w:val="00073914"/>
    <w:rsid w:val="00074236"/>
    <w:rsid w:val="000746BD"/>
    <w:rsid w:val="00076D7D"/>
    <w:rsid w:val="00077B03"/>
    <w:rsid w:val="00080D95"/>
    <w:rsid w:val="00082A89"/>
    <w:rsid w:val="00090E6B"/>
    <w:rsid w:val="00091B2C"/>
    <w:rsid w:val="00092ABC"/>
    <w:rsid w:val="00096E7C"/>
    <w:rsid w:val="00097AAF"/>
    <w:rsid w:val="00097D13"/>
    <w:rsid w:val="000A223D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9EE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2E12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446"/>
    <w:rsid w:val="00151AE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648"/>
    <w:rsid w:val="0017725B"/>
    <w:rsid w:val="0018050C"/>
    <w:rsid w:val="0018117F"/>
    <w:rsid w:val="00181826"/>
    <w:rsid w:val="001824ED"/>
    <w:rsid w:val="00183262"/>
    <w:rsid w:val="00184B03"/>
    <w:rsid w:val="00185C59"/>
    <w:rsid w:val="00187C1B"/>
    <w:rsid w:val="001908AC"/>
    <w:rsid w:val="00190CFB"/>
    <w:rsid w:val="001913D2"/>
    <w:rsid w:val="001922B2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8A4"/>
    <w:rsid w:val="001B053A"/>
    <w:rsid w:val="001B0B45"/>
    <w:rsid w:val="001B26D8"/>
    <w:rsid w:val="001B3BFA"/>
    <w:rsid w:val="001B5C40"/>
    <w:rsid w:val="001B61A8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25F"/>
    <w:rsid w:val="001E118D"/>
    <w:rsid w:val="001E2CAD"/>
    <w:rsid w:val="001E34DB"/>
    <w:rsid w:val="001E37CD"/>
    <w:rsid w:val="001E4070"/>
    <w:rsid w:val="001E5BE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7B9"/>
    <w:rsid w:val="00217C49"/>
    <w:rsid w:val="0022177D"/>
    <w:rsid w:val="00224C37"/>
    <w:rsid w:val="002304DF"/>
    <w:rsid w:val="0023341D"/>
    <w:rsid w:val="002338DA"/>
    <w:rsid w:val="002338FF"/>
    <w:rsid w:val="00233D66"/>
    <w:rsid w:val="00233FDB"/>
    <w:rsid w:val="00234F58"/>
    <w:rsid w:val="0023507D"/>
    <w:rsid w:val="00237A6D"/>
    <w:rsid w:val="0024077A"/>
    <w:rsid w:val="00241EC1"/>
    <w:rsid w:val="002431DA"/>
    <w:rsid w:val="00243FF6"/>
    <w:rsid w:val="0024691D"/>
    <w:rsid w:val="00247D27"/>
    <w:rsid w:val="00250A50"/>
    <w:rsid w:val="00251ED5"/>
    <w:rsid w:val="002529C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BF1"/>
    <w:rsid w:val="00277434"/>
    <w:rsid w:val="00280123"/>
    <w:rsid w:val="00281343"/>
    <w:rsid w:val="00281883"/>
    <w:rsid w:val="002874E3"/>
    <w:rsid w:val="00287656"/>
    <w:rsid w:val="0029148D"/>
    <w:rsid w:val="00291518"/>
    <w:rsid w:val="00293AD1"/>
    <w:rsid w:val="00296FF0"/>
    <w:rsid w:val="002A17C0"/>
    <w:rsid w:val="002A48DF"/>
    <w:rsid w:val="002A5A84"/>
    <w:rsid w:val="002A6E6F"/>
    <w:rsid w:val="002A6FE0"/>
    <w:rsid w:val="002A74E4"/>
    <w:rsid w:val="002A7CFE"/>
    <w:rsid w:val="002B26DD"/>
    <w:rsid w:val="002B2870"/>
    <w:rsid w:val="002B391B"/>
    <w:rsid w:val="002B5B42"/>
    <w:rsid w:val="002B60B9"/>
    <w:rsid w:val="002B7BA7"/>
    <w:rsid w:val="002C1C17"/>
    <w:rsid w:val="002C3203"/>
    <w:rsid w:val="002C3B07"/>
    <w:rsid w:val="002C532B"/>
    <w:rsid w:val="002C5713"/>
    <w:rsid w:val="002D05CC"/>
    <w:rsid w:val="002D305A"/>
    <w:rsid w:val="002E2037"/>
    <w:rsid w:val="002E21B8"/>
    <w:rsid w:val="002E546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4BF"/>
    <w:rsid w:val="003305F5"/>
    <w:rsid w:val="00333930"/>
    <w:rsid w:val="0033545B"/>
    <w:rsid w:val="00336BA4"/>
    <w:rsid w:val="00336C7A"/>
    <w:rsid w:val="00337392"/>
    <w:rsid w:val="00337659"/>
    <w:rsid w:val="003411D7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1ED"/>
    <w:rsid w:val="003747DF"/>
    <w:rsid w:val="00377E3D"/>
    <w:rsid w:val="003847E8"/>
    <w:rsid w:val="0038731D"/>
    <w:rsid w:val="00387B60"/>
    <w:rsid w:val="00390098"/>
    <w:rsid w:val="00392DA1"/>
    <w:rsid w:val="00393718"/>
    <w:rsid w:val="00397D03"/>
    <w:rsid w:val="003A00DD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8D0"/>
    <w:rsid w:val="003B7984"/>
    <w:rsid w:val="003B7AF6"/>
    <w:rsid w:val="003C0411"/>
    <w:rsid w:val="003C1871"/>
    <w:rsid w:val="003C1C55"/>
    <w:rsid w:val="003C25EA"/>
    <w:rsid w:val="003C2B3F"/>
    <w:rsid w:val="003C36FD"/>
    <w:rsid w:val="003C664C"/>
    <w:rsid w:val="003D0D83"/>
    <w:rsid w:val="003D726D"/>
    <w:rsid w:val="003E0875"/>
    <w:rsid w:val="003E0BB8"/>
    <w:rsid w:val="003E6CB0"/>
    <w:rsid w:val="003F1F5E"/>
    <w:rsid w:val="003F286A"/>
    <w:rsid w:val="003F558E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F2C"/>
    <w:rsid w:val="00447018"/>
    <w:rsid w:val="00450561"/>
    <w:rsid w:val="00450922"/>
    <w:rsid w:val="00450A40"/>
    <w:rsid w:val="00451D7C"/>
    <w:rsid w:val="00452FC3"/>
    <w:rsid w:val="00455936"/>
    <w:rsid w:val="00455ACE"/>
    <w:rsid w:val="00456EDA"/>
    <w:rsid w:val="00457222"/>
    <w:rsid w:val="00461B69"/>
    <w:rsid w:val="00462B3D"/>
    <w:rsid w:val="004633C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016"/>
    <w:rsid w:val="004A03F7"/>
    <w:rsid w:val="004A081C"/>
    <w:rsid w:val="004A0A6D"/>
    <w:rsid w:val="004A123F"/>
    <w:rsid w:val="004A2172"/>
    <w:rsid w:val="004B138F"/>
    <w:rsid w:val="004B2614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F7F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E8B"/>
    <w:rsid w:val="005B5516"/>
    <w:rsid w:val="005B5D2B"/>
    <w:rsid w:val="005C1496"/>
    <w:rsid w:val="005C17C5"/>
    <w:rsid w:val="005C2B21"/>
    <w:rsid w:val="005C2C00"/>
    <w:rsid w:val="005C4C6F"/>
    <w:rsid w:val="005C5127"/>
    <w:rsid w:val="005C7015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964"/>
    <w:rsid w:val="005F1519"/>
    <w:rsid w:val="005F4862"/>
    <w:rsid w:val="005F5679"/>
    <w:rsid w:val="005F5CA4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D79"/>
    <w:rsid w:val="00607E64"/>
    <w:rsid w:val="006106E9"/>
    <w:rsid w:val="0061159E"/>
    <w:rsid w:val="00614633"/>
    <w:rsid w:val="00614BC8"/>
    <w:rsid w:val="006151FB"/>
    <w:rsid w:val="00617411"/>
    <w:rsid w:val="006249CB"/>
    <w:rsid w:val="00624D5F"/>
    <w:rsid w:val="006272DD"/>
    <w:rsid w:val="00630963"/>
    <w:rsid w:val="00631897"/>
    <w:rsid w:val="00632928"/>
    <w:rsid w:val="006330DA"/>
    <w:rsid w:val="00633262"/>
    <w:rsid w:val="00633460"/>
    <w:rsid w:val="00635350"/>
    <w:rsid w:val="006402E7"/>
    <w:rsid w:val="00640CB6"/>
    <w:rsid w:val="00641B42"/>
    <w:rsid w:val="00645227"/>
    <w:rsid w:val="00645750"/>
    <w:rsid w:val="00650692"/>
    <w:rsid w:val="006508D3"/>
    <w:rsid w:val="00650AFA"/>
    <w:rsid w:val="0065727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92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9FF"/>
    <w:rsid w:val="006D096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C7F"/>
    <w:rsid w:val="006E7934"/>
    <w:rsid w:val="006F365D"/>
    <w:rsid w:val="006F4BB0"/>
    <w:rsid w:val="00700528"/>
    <w:rsid w:val="00702B8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26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9E6"/>
    <w:rsid w:val="00743C4C"/>
    <w:rsid w:val="007445B7"/>
    <w:rsid w:val="00744920"/>
    <w:rsid w:val="007461D6"/>
    <w:rsid w:val="007509BE"/>
    <w:rsid w:val="0075287B"/>
    <w:rsid w:val="00754B91"/>
    <w:rsid w:val="00755C7B"/>
    <w:rsid w:val="00764786"/>
    <w:rsid w:val="00764934"/>
    <w:rsid w:val="00766E12"/>
    <w:rsid w:val="0077098E"/>
    <w:rsid w:val="00771287"/>
    <w:rsid w:val="0077149E"/>
    <w:rsid w:val="007720FD"/>
    <w:rsid w:val="00776B98"/>
    <w:rsid w:val="00777518"/>
    <w:rsid w:val="0077779E"/>
    <w:rsid w:val="00777CDD"/>
    <w:rsid w:val="00780FB6"/>
    <w:rsid w:val="0078552A"/>
    <w:rsid w:val="00785729"/>
    <w:rsid w:val="00786058"/>
    <w:rsid w:val="007936C6"/>
    <w:rsid w:val="0079487D"/>
    <w:rsid w:val="007966D4"/>
    <w:rsid w:val="00796A0A"/>
    <w:rsid w:val="0079792C"/>
    <w:rsid w:val="007A0989"/>
    <w:rsid w:val="007A331F"/>
    <w:rsid w:val="007A3844"/>
    <w:rsid w:val="007A3B8F"/>
    <w:rsid w:val="007A4381"/>
    <w:rsid w:val="007A5466"/>
    <w:rsid w:val="007A7EC1"/>
    <w:rsid w:val="007B4FCA"/>
    <w:rsid w:val="007B7B85"/>
    <w:rsid w:val="007C22E0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B1F"/>
    <w:rsid w:val="007F05A1"/>
    <w:rsid w:val="007F0764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B1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95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AD0"/>
    <w:rsid w:val="0087680A"/>
    <w:rsid w:val="008806EB"/>
    <w:rsid w:val="008826F2"/>
    <w:rsid w:val="008845BA"/>
    <w:rsid w:val="00885203"/>
    <w:rsid w:val="00885999"/>
    <w:rsid w:val="008859CA"/>
    <w:rsid w:val="0088605A"/>
    <w:rsid w:val="008861EE"/>
    <w:rsid w:val="00890B59"/>
    <w:rsid w:val="00890ED5"/>
    <w:rsid w:val="00891B1C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B30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F2F"/>
    <w:rsid w:val="00921A1E"/>
    <w:rsid w:val="009224D0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251"/>
    <w:rsid w:val="00967126"/>
    <w:rsid w:val="00970EAE"/>
    <w:rsid w:val="00970F4F"/>
    <w:rsid w:val="00971627"/>
    <w:rsid w:val="00972797"/>
    <w:rsid w:val="0097279D"/>
    <w:rsid w:val="00976837"/>
    <w:rsid w:val="00980311"/>
    <w:rsid w:val="0098170E"/>
    <w:rsid w:val="00981DB3"/>
    <w:rsid w:val="0098285C"/>
    <w:rsid w:val="00982860"/>
    <w:rsid w:val="00983B56"/>
    <w:rsid w:val="009847FD"/>
    <w:rsid w:val="009851B3"/>
    <w:rsid w:val="00985300"/>
    <w:rsid w:val="00986720"/>
    <w:rsid w:val="00987F00"/>
    <w:rsid w:val="0099403D"/>
    <w:rsid w:val="00995B0B"/>
    <w:rsid w:val="00995D0E"/>
    <w:rsid w:val="009A1680"/>
    <w:rsid w:val="009A1883"/>
    <w:rsid w:val="009A39F5"/>
    <w:rsid w:val="009A4588"/>
    <w:rsid w:val="009A5EA5"/>
    <w:rsid w:val="009B00C2"/>
    <w:rsid w:val="009B26AB"/>
    <w:rsid w:val="009B2890"/>
    <w:rsid w:val="009B3476"/>
    <w:rsid w:val="009B39BC"/>
    <w:rsid w:val="009B4C57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44C"/>
    <w:rsid w:val="009C5A1D"/>
    <w:rsid w:val="009C6B08"/>
    <w:rsid w:val="009C70FC"/>
    <w:rsid w:val="009D002B"/>
    <w:rsid w:val="009D37C7"/>
    <w:rsid w:val="009D4BBD"/>
    <w:rsid w:val="009D5A41"/>
    <w:rsid w:val="009E13BF"/>
    <w:rsid w:val="009E25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DBE"/>
    <w:rsid w:val="00A151B5"/>
    <w:rsid w:val="00A20239"/>
    <w:rsid w:val="00A220FF"/>
    <w:rsid w:val="00A227E0"/>
    <w:rsid w:val="00A232E4"/>
    <w:rsid w:val="00A24AAD"/>
    <w:rsid w:val="00A25AB5"/>
    <w:rsid w:val="00A26A8A"/>
    <w:rsid w:val="00A27255"/>
    <w:rsid w:val="00A32304"/>
    <w:rsid w:val="00A3420E"/>
    <w:rsid w:val="00A35D66"/>
    <w:rsid w:val="00A41085"/>
    <w:rsid w:val="00A425FA"/>
    <w:rsid w:val="00A43960"/>
    <w:rsid w:val="00A461EF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25E"/>
    <w:rsid w:val="00A803CF"/>
    <w:rsid w:val="00A8133F"/>
    <w:rsid w:val="00A8176F"/>
    <w:rsid w:val="00A82CB4"/>
    <w:rsid w:val="00A837A8"/>
    <w:rsid w:val="00A83C36"/>
    <w:rsid w:val="00A932BB"/>
    <w:rsid w:val="00A93579"/>
    <w:rsid w:val="00A93934"/>
    <w:rsid w:val="00A95D51"/>
    <w:rsid w:val="00AA0799"/>
    <w:rsid w:val="00AA18AE"/>
    <w:rsid w:val="00AA228B"/>
    <w:rsid w:val="00AA4CFD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DA2"/>
    <w:rsid w:val="00AF1433"/>
    <w:rsid w:val="00AF48B4"/>
    <w:rsid w:val="00AF4923"/>
    <w:rsid w:val="00AF7C74"/>
    <w:rsid w:val="00B000AF"/>
    <w:rsid w:val="00B04E79"/>
    <w:rsid w:val="00B0631E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678"/>
    <w:rsid w:val="00B43672"/>
    <w:rsid w:val="00B473D8"/>
    <w:rsid w:val="00B5165A"/>
    <w:rsid w:val="00B524C1"/>
    <w:rsid w:val="00B52697"/>
    <w:rsid w:val="00B52C8D"/>
    <w:rsid w:val="00B564BF"/>
    <w:rsid w:val="00B6104E"/>
    <w:rsid w:val="00B610C7"/>
    <w:rsid w:val="00B62106"/>
    <w:rsid w:val="00B626A8"/>
    <w:rsid w:val="00B64ADE"/>
    <w:rsid w:val="00B65695"/>
    <w:rsid w:val="00B66526"/>
    <w:rsid w:val="00B665A3"/>
    <w:rsid w:val="00B715EC"/>
    <w:rsid w:val="00B73A64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8A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A3B"/>
    <w:rsid w:val="00BE3634"/>
    <w:rsid w:val="00BE3E30"/>
    <w:rsid w:val="00BE5274"/>
    <w:rsid w:val="00BE71CD"/>
    <w:rsid w:val="00BE7748"/>
    <w:rsid w:val="00BE7BDA"/>
    <w:rsid w:val="00BF0034"/>
    <w:rsid w:val="00BF0548"/>
    <w:rsid w:val="00BF1357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730"/>
    <w:rsid w:val="00C2142B"/>
    <w:rsid w:val="00C22987"/>
    <w:rsid w:val="00C23956"/>
    <w:rsid w:val="00C244B8"/>
    <w:rsid w:val="00C248E6"/>
    <w:rsid w:val="00C2766F"/>
    <w:rsid w:val="00C3223B"/>
    <w:rsid w:val="00C333C6"/>
    <w:rsid w:val="00C358D0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EC2"/>
    <w:rsid w:val="00C95150"/>
    <w:rsid w:val="00C95A73"/>
    <w:rsid w:val="00C97446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389"/>
    <w:rsid w:val="00CF2E95"/>
    <w:rsid w:val="00CF4827"/>
    <w:rsid w:val="00CF4C69"/>
    <w:rsid w:val="00CF581C"/>
    <w:rsid w:val="00CF71E0"/>
    <w:rsid w:val="00CF772F"/>
    <w:rsid w:val="00CF7848"/>
    <w:rsid w:val="00D001B1"/>
    <w:rsid w:val="00D03176"/>
    <w:rsid w:val="00D060A8"/>
    <w:rsid w:val="00D06605"/>
    <w:rsid w:val="00D0720F"/>
    <w:rsid w:val="00D074E2"/>
    <w:rsid w:val="00D10C00"/>
    <w:rsid w:val="00D11B0B"/>
    <w:rsid w:val="00D11CB4"/>
    <w:rsid w:val="00D12A3E"/>
    <w:rsid w:val="00D22160"/>
    <w:rsid w:val="00D22172"/>
    <w:rsid w:val="00D2301B"/>
    <w:rsid w:val="00D239EE"/>
    <w:rsid w:val="00D23AC0"/>
    <w:rsid w:val="00D30534"/>
    <w:rsid w:val="00D35728"/>
    <w:rsid w:val="00D368C2"/>
    <w:rsid w:val="00D37BCF"/>
    <w:rsid w:val="00D40F93"/>
    <w:rsid w:val="00D42277"/>
    <w:rsid w:val="00D43C59"/>
    <w:rsid w:val="00D44ADE"/>
    <w:rsid w:val="00D46CF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F9C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C60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B8D"/>
    <w:rsid w:val="00DC6DBB"/>
    <w:rsid w:val="00DC7761"/>
    <w:rsid w:val="00DD0022"/>
    <w:rsid w:val="00DD073C"/>
    <w:rsid w:val="00DD113F"/>
    <w:rsid w:val="00DD128C"/>
    <w:rsid w:val="00DD1B8F"/>
    <w:rsid w:val="00DD5BCC"/>
    <w:rsid w:val="00DD67C9"/>
    <w:rsid w:val="00DD7509"/>
    <w:rsid w:val="00DD79C7"/>
    <w:rsid w:val="00DD7D6E"/>
    <w:rsid w:val="00DE00DE"/>
    <w:rsid w:val="00DE0F5B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62A"/>
    <w:rsid w:val="00E1228E"/>
    <w:rsid w:val="00E13374"/>
    <w:rsid w:val="00E14079"/>
    <w:rsid w:val="00E15F90"/>
    <w:rsid w:val="00E16D3E"/>
    <w:rsid w:val="00E17167"/>
    <w:rsid w:val="00E20520"/>
    <w:rsid w:val="00E20C2E"/>
    <w:rsid w:val="00E21D55"/>
    <w:rsid w:val="00E21FDC"/>
    <w:rsid w:val="00E2551E"/>
    <w:rsid w:val="00E26B13"/>
    <w:rsid w:val="00E27E5A"/>
    <w:rsid w:val="00E305E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FF1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785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2F96"/>
    <w:rsid w:val="00ED39AC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4AC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94A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0B6"/>
    <w:rsid w:val="00F5605D"/>
    <w:rsid w:val="00F6514B"/>
    <w:rsid w:val="00F6587F"/>
    <w:rsid w:val="00F67981"/>
    <w:rsid w:val="00F706CA"/>
    <w:rsid w:val="00F70F8D"/>
    <w:rsid w:val="00F71C5A"/>
    <w:rsid w:val="00F72559"/>
    <w:rsid w:val="00F733A4"/>
    <w:rsid w:val="00F7758F"/>
    <w:rsid w:val="00F82811"/>
    <w:rsid w:val="00F84153"/>
    <w:rsid w:val="00F84C28"/>
    <w:rsid w:val="00F85661"/>
    <w:rsid w:val="00F91788"/>
    <w:rsid w:val="00F921B2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67D96-840E-44AB-8E39-96C7DC0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20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0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0FD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995D0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95D0E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C3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1722</Words>
  <Characters>9625</Characters>
  <Application>Microsoft Office Word</Application>
  <DocSecurity>4</DocSecurity>
  <Lines>195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HB02275 (Committee Report (Substituted))</vt:lpstr>
    </vt:vector>
  </TitlesOfParts>
  <Company>State of Texas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23727</dc:subject>
  <dc:creator>State of Texas</dc:creator>
  <dc:description>HB 2275 by Zwiener-(H)State Affairs (Substitute Document Number: 87R 21983)</dc:description>
  <cp:lastModifiedBy>Lauren Bustamante</cp:lastModifiedBy>
  <cp:revision>2</cp:revision>
  <cp:lastPrinted>2003-11-26T17:21:00Z</cp:lastPrinted>
  <dcterms:created xsi:type="dcterms:W3CDTF">2021-05-06T00:29:00Z</dcterms:created>
  <dcterms:modified xsi:type="dcterms:W3CDTF">2021-05-06T00:29:00Z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21.122.176</vt:lpwstr>
  </property>
</Properties>
</file>