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D2D67" w14:paraId="0A32036E" w14:textId="77777777" w:rsidTr="00345119">
        <w:tc>
          <w:tcPr>
            <w:tcW w:w="9576" w:type="dxa"/>
            <w:noWrap/>
          </w:tcPr>
          <w:p w14:paraId="671776B6" w14:textId="77777777" w:rsidR="008423E4" w:rsidRPr="0022177D" w:rsidRDefault="00DE7B22" w:rsidP="0085563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BA483C" w14:textId="77777777" w:rsidR="008423E4" w:rsidRPr="0022177D" w:rsidRDefault="008423E4" w:rsidP="0085563B">
      <w:pPr>
        <w:jc w:val="center"/>
      </w:pPr>
    </w:p>
    <w:p w14:paraId="74720541" w14:textId="77777777" w:rsidR="008423E4" w:rsidRPr="00B31F0E" w:rsidRDefault="008423E4" w:rsidP="0085563B"/>
    <w:p w14:paraId="55407830" w14:textId="77777777" w:rsidR="008423E4" w:rsidRPr="00742794" w:rsidRDefault="008423E4" w:rsidP="0085563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2D67" w14:paraId="7AD5F0DC" w14:textId="77777777" w:rsidTr="00345119">
        <w:tc>
          <w:tcPr>
            <w:tcW w:w="9576" w:type="dxa"/>
          </w:tcPr>
          <w:p w14:paraId="254FA0BB" w14:textId="714DB94C" w:rsidR="008423E4" w:rsidRPr="00861995" w:rsidRDefault="00DE7B22" w:rsidP="0085563B">
            <w:pPr>
              <w:jc w:val="right"/>
            </w:pPr>
            <w:r>
              <w:t>C.S.H.B. 2298</w:t>
            </w:r>
          </w:p>
        </w:tc>
      </w:tr>
      <w:tr w:rsidR="003D2D67" w14:paraId="3FAD3D2B" w14:textId="77777777" w:rsidTr="00345119">
        <w:tc>
          <w:tcPr>
            <w:tcW w:w="9576" w:type="dxa"/>
          </w:tcPr>
          <w:p w14:paraId="7C861A56" w14:textId="70953CD4" w:rsidR="008423E4" w:rsidRPr="00861995" w:rsidRDefault="00DE7B22" w:rsidP="0059462F">
            <w:pPr>
              <w:jc w:val="right"/>
            </w:pPr>
            <w:r>
              <w:t xml:space="preserve">By: </w:t>
            </w:r>
            <w:r w:rsidR="0059462F">
              <w:t>Cason</w:t>
            </w:r>
          </w:p>
        </w:tc>
      </w:tr>
      <w:tr w:rsidR="003D2D67" w14:paraId="35F4A8AE" w14:textId="77777777" w:rsidTr="00345119">
        <w:tc>
          <w:tcPr>
            <w:tcW w:w="9576" w:type="dxa"/>
          </w:tcPr>
          <w:p w14:paraId="7410720F" w14:textId="4AB98767" w:rsidR="008423E4" w:rsidRPr="00861995" w:rsidRDefault="00DE7B22" w:rsidP="0085563B">
            <w:pPr>
              <w:jc w:val="right"/>
            </w:pPr>
            <w:r>
              <w:t>Human Services</w:t>
            </w:r>
          </w:p>
        </w:tc>
      </w:tr>
      <w:tr w:rsidR="003D2D67" w14:paraId="11396B29" w14:textId="77777777" w:rsidTr="00345119">
        <w:tc>
          <w:tcPr>
            <w:tcW w:w="9576" w:type="dxa"/>
          </w:tcPr>
          <w:p w14:paraId="05F7DF2D" w14:textId="0E283D42" w:rsidR="008423E4" w:rsidRDefault="00DE7B22" w:rsidP="0085563B">
            <w:pPr>
              <w:jc w:val="right"/>
            </w:pPr>
            <w:r>
              <w:t>Committee Report (Substituted)</w:t>
            </w:r>
          </w:p>
        </w:tc>
      </w:tr>
    </w:tbl>
    <w:p w14:paraId="62D0C501" w14:textId="77777777" w:rsidR="008423E4" w:rsidRDefault="008423E4" w:rsidP="0085563B">
      <w:pPr>
        <w:tabs>
          <w:tab w:val="right" w:pos="9360"/>
        </w:tabs>
      </w:pPr>
    </w:p>
    <w:p w14:paraId="7E22B1A5" w14:textId="77777777" w:rsidR="008423E4" w:rsidRDefault="008423E4" w:rsidP="0085563B"/>
    <w:p w14:paraId="1405F191" w14:textId="77777777" w:rsidR="008423E4" w:rsidRDefault="008423E4" w:rsidP="0085563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D2D67" w14:paraId="27EB5EF6" w14:textId="77777777" w:rsidTr="00FB4403">
        <w:tc>
          <w:tcPr>
            <w:tcW w:w="9360" w:type="dxa"/>
          </w:tcPr>
          <w:p w14:paraId="43110D6F" w14:textId="77777777" w:rsidR="008423E4" w:rsidRPr="00A8133F" w:rsidRDefault="00DE7B22" w:rsidP="008556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3D394A" w14:textId="77777777" w:rsidR="008423E4" w:rsidRDefault="008423E4" w:rsidP="0085563B"/>
          <w:p w14:paraId="3F62B7A9" w14:textId="61268F87" w:rsidR="00D93340" w:rsidRDefault="00DE7B22" w:rsidP="00855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93340">
              <w:t xml:space="preserve">Every parent in </w:t>
            </w:r>
            <w:r w:rsidR="001F50BE">
              <w:t>Texas</w:t>
            </w:r>
            <w:r w:rsidRPr="00D93340">
              <w:t xml:space="preserve"> deserves to know the law, especially when it involves their children.</w:t>
            </w:r>
            <w:r w:rsidR="004C2E09">
              <w:t xml:space="preserve"> </w:t>
            </w:r>
            <w:r w:rsidR="0021068A">
              <w:t>C</w:t>
            </w:r>
            <w:r w:rsidRPr="00D93340">
              <w:t>urrent</w:t>
            </w:r>
            <w:r w:rsidR="001F50BE">
              <w:t>ly,</w:t>
            </w:r>
            <w:r w:rsidRPr="00D93340">
              <w:t xml:space="preserve"> </w:t>
            </w:r>
            <w:r w:rsidR="001F50BE">
              <w:t xml:space="preserve">there </w:t>
            </w:r>
            <w:r w:rsidR="0021068A">
              <w:t>are few safeguards in place to ensure that</w:t>
            </w:r>
            <w:r w:rsidRPr="00D93340">
              <w:t xml:space="preserve"> parents</w:t>
            </w:r>
            <w:r w:rsidR="0021068A">
              <w:t xml:space="preserve"> have</w:t>
            </w:r>
            <w:r w:rsidRPr="00D93340">
              <w:t xml:space="preserve"> the information they deserve regarding </w:t>
            </w:r>
            <w:r w:rsidR="0021068A">
              <w:t xml:space="preserve">their rights while being </w:t>
            </w:r>
            <w:r w:rsidRPr="00D93340">
              <w:t>investigat</w:t>
            </w:r>
            <w:r w:rsidR="0021068A">
              <w:t>ed</w:t>
            </w:r>
            <w:r w:rsidRPr="00D93340">
              <w:t xml:space="preserve"> by </w:t>
            </w:r>
            <w:r w:rsidR="007C071F">
              <w:t xml:space="preserve">the </w:t>
            </w:r>
            <w:r w:rsidR="001F50BE">
              <w:t>Department of Family and Protective Services</w:t>
            </w:r>
            <w:r w:rsidRPr="00D93340">
              <w:t xml:space="preserve"> </w:t>
            </w:r>
            <w:r w:rsidR="0021068A">
              <w:t>(DFPS) for potential abuse or neglect of</w:t>
            </w:r>
            <w:r w:rsidR="0021068A" w:rsidRPr="00D93340">
              <w:t xml:space="preserve"> </w:t>
            </w:r>
            <w:r w:rsidRPr="00D93340">
              <w:t>their children.</w:t>
            </w:r>
            <w:r w:rsidR="004C2E09">
              <w:t xml:space="preserve"> </w:t>
            </w:r>
            <w:r w:rsidR="0021068A">
              <w:t xml:space="preserve">It has been suggested that the state should implement a system to </w:t>
            </w:r>
            <w:r w:rsidR="00100950">
              <w:t xml:space="preserve">advise </w:t>
            </w:r>
            <w:r w:rsidR="0021068A">
              <w:t>parents of those rights, akin to</w:t>
            </w:r>
            <w:r w:rsidR="0021068A" w:rsidRPr="00D93340">
              <w:t xml:space="preserve"> Miranda warnings</w:t>
            </w:r>
            <w:r w:rsidR="0021068A">
              <w:t>, which</w:t>
            </w:r>
            <w:r w:rsidR="0021068A" w:rsidRPr="00D93340">
              <w:t xml:space="preserve"> have stood as a pillar of </w:t>
            </w:r>
            <w:r w:rsidR="0021068A" w:rsidRPr="007C071F">
              <w:t xml:space="preserve">protecting civil rights in </w:t>
            </w:r>
            <w:r w:rsidR="00D535F1">
              <w:t xml:space="preserve">law enforcement </w:t>
            </w:r>
            <w:r w:rsidR="0021068A" w:rsidRPr="007C071F">
              <w:t xml:space="preserve">interactions </w:t>
            </w:r>
            <w:r w:rsidR="0021068A">
              <w:t>for decades. C.S.H.B. 2298 seeks to address this issue by requiring</w:t>
            </w:r>
            <w:r w:rsidRPr="00D93340">
              <w:t xml:space="preserve"> DFPS </w:t>
            </w:r>
            <w:r w:rsidR="007C071F">
              <w:t>to provide verbal and written notification of certain</w:t>
            </w:r>
            <w:r w:rsidRPr="00D93340">
              <w:t xml:space="preserve"> rights to</w:t>
            </w:r>
            <w:r w:rsidR="007C071F">
              <w:t xml:space="preserve"> a</w:t>
            </w:r>
            <w:r w:rsidRPr="00D93340">
              <w:t xml:space="preserve"> parent or </w:t>
            </w:r>
            <w:r w:rsidR="007C071F">
              <w:t>other person having legal custody of a child</w:t>
            </w:r>
            <w:r w:rsidR="007C071F" w:rsidRPr="00D93340">
              <w:t xml:space="preserve"> </w:t>
            </w:r>
            <w:r w:rsidRPr="00D93340">
              <w:t>upon the initiation of an investigation.</w:t>
            </w:r>
          </w:p>
          <w:p w14:paraId="639A0CD6" w14:textId="77777777" w:rsidR="008423E4" w:rsidRPr="00E26B13" w:rsidRDefault="008423E4" w:rsidP="0085563B">
            <w:pPr>
              <w:rPr>
                <w:b/>
              </w:rPr>
            </w:pPr>
          </w:p>
        </w:tc>
      </w:tr>
      <w:tr w:rsidR="003D2D67" w14:paraId="53A630D4" w14:textId="77777777" w:rsidTr="00FB4403">
        <w:tc>
          <w:tcPr>
            <w:tcW w:w="9360" w:type="dxa"/>
          </w:tcPr>
          <w:p w14:paraId="0BA6C874" w14:textId="77777777" w:rsidR="0017725B" w:rsidRDefault="00DE7B22" w:rsidP="008556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864CFC0" w14:textId="77777777" w:rsidR="0017725B" w:rsidRDefault="0017725B" w:rsidP="0085563B">
            <w:pPr>
              <w:rPr>
                <w:b/>
                <w:u w:val="single"/>
              </w:rPr>
            </w:pPr>
          </w:p>
          <w:p w14:paraId="507709D6" w14:textId="6770C9D0" w:rsidR="00A66BA5" w:rsidRPr="00A66BA5" w:rsidRDefault="00DE7B22" w:rsidP="0085563B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14:paraId="2A5D2D78" w14:textId="77777777" w:rsidR="0017725B" w:rsidRPr="0017725B" w:rsidRDefault="0017725B" w:rsidP="0085563B">
            <w:pPr>
              <w:rPr>
                <w:b/>
                <w:u w:val="single"/>
              </w:rPr>
            </w:pPr>
          </w:p>
        </w:tc>
      </w:tr>
      <w:tr w:rsidR="003D2D67" w14:paraId="2388D2C6" w14:textId="77777777" w:rsidTr="00FB4403">
        <w:tc>
          <w:tcPr>
            <w:tcW w:w="9360" w:type="dxa"/>
          </w:tcPr>
          <w:p w14:paraId="29AC25DC" w14:textId="77777777" w:rsidR="008423E4" w:rsidRPr="00A8133F" w:rsidRDefault="00DE7B22" w:rsidP="008556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C353187" w14:textId="77777777" w:rsidR="008423E4" w:rsidRDefault="008423E4" w:rsidP="0085563B"/>
          <w:p w14:paraId="7E4336D6" w14:textId="082EBDC8" w:rsidR="00A66BA5" w:rsidRDefault="00DE7B22" w:rsidP="00855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14:paraId="0929CC21" w14:textId="77777777" w:rsidR="008423E4" w:rsidRPr="00E21FDC" w:rsidRDefault="008423E4" w:rsidP="0085563B">
            <w:pPr>
              <w:rPr>
                <w:b/>
              </w:rPr>
            </w:pPr>
          </w:p>
        </w:tc>
      </w:tr>
      <w:tr w:rsidR="003D2D67" w14:paraId="3B32D390" w14:textId="77777777" w:rsidTr="00FB4403">
        <w:tc>
          <w:tcPr>
            <w:tcW w:w="9360" w:type="dxa"/>
          </w:tcPr>
          <w:p w14:paraId="530AC607" w14:textId="77777777" w:rsidR="008423E4" w:rsidRPr="00A8133F" w:rsidRDefault="00DE7B22" w:rsidP="008556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5BDB0D" w14:textId="77777777" w:rsidR="008423E4" w:rsidRDefault="008423E4" w:rsidP="0085563B"/>
          <w:p w14:paraId="5B64B629" w14:textId="2E1EDD99" w:rsidR="007673BC" w:rsidRDefault="00DE7B22" w:rsidP="00855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FD4D3A">
              <w:t>H.B. 2298 amends the Family Code to require the</w:t>
            </w:r>
            <w:r w:rsidR="00FD4D3A" w:rsidRPr="00FD4D3A">
              <w:t xml:space="preserve"> Department of Family and Protective Services (DFPS)</w:t>
            </w:r>
            <w:r>
              <w:t>,</w:t>
            </w:r>
            <w:r w:rsidR="00FD4D3A">
              <w:t xml:space="preserve"> after</w:t>
            </w:r>
            <w:r w:rsidR="00FD4D3A" w:rsidRPr="00FD4D3A">
              <w:t xml:space="preserve"> initiating an investigation of a parent or other person h</w:t>
            </w:r>
            <w:r w:rsidR="00F17AF5">
              <w:t>aving legal custody of a child</w:t>
            </w:r>
            <w:r w:rsidR="00D93340">
              <w:t xml:space="preserve"> </w:t>
            </w:r>
            <w:r w:rsidR="00EE4EFF">
              <w:t xml:space="preserve">for </w:t>
            </w:r>
            <w:r w:rsidR="00EE4EFF" w:rsidRPr="00A674EC">
              <w:t>potential</w:t>
            </w:r>
            <w:r w:rsidR="00EE4EFF">
              <w:t xml:space="preserve"> child abuse or neglect, </w:t>
            </w:r>
            <w:r w:rsidR="00D93340">
              <w:t>to</w:t>
            </w:r>
            <w:r w:rsidR="00F17AF5">
              <w:t xml:space="preserve"> </w:t>
            </w:r>
            <w:r w:rsidR="00FD4D3A" w:rsidRPr="00FD4D3A">
              <w:t>provide</w:t>
            </w:r>
            <w:r>
              <w:t xml:space="preserve"> </w:t>
            </w:r>
            <w:r w:rsidR="00F17AF5">
              <w:t>to the person upon first contact</w:t>
            </w:r>
            <w:r w:rsidR="00EE4EFF">
              <w:t xml:space="preserve"> with that person </w:t>
            </w:r>
            <w:r w:rsidR="00F17AF5">
              <w:t>a verbal and writt</w:t>
            </w:r>
            <w:r>
              <w:t xml:space="preserve">en notification of </w:t>
            </w:r>
            <w:r w:rsidR="00EE4EFF">
              <w:t xml:space="preserve">the </w:t>
            </w:r>
            <w:r>
              <w:t xml:space="preserve">right </w:t>
            </w:r>
            <w:r w:rsidRPr="0045624F">
              <w:t>to</w:t>
            </w:r>
            <w:r>
              <w:t>:</w:t>
            </w:r>
          </w:p>
          <w:p w14:paraId="3AA8701E" w14:textId="7127FDD6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not speak with any DFPS </w:t>
            </w:r>
            <w:r w:rsidR="00EE4EFF">
              <w:t xml:space="preserve">agent </w:t>
            </w:r>
            <w:r>
              <w:t>without legal counsel present;</w:t>
            </w:r>
          </w:p>
          <w:p w14:paraId="6AE207C3" w14:textId="09D35C3E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assistance by an attorney;</w:t>
            </w:r>
          </w:p>
          <w:p w14:paraId="7C50AE03" w14:textId="6AE0560F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have a court-appointed attorney if the person is indigent;</w:t>
            </w:r>
          </w:p>
          <w:p w14:paraId="3E3091C4" w14:textId="18470B71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openly or secretly record any interaction or interview to which the person is a party subject to the understa</w:t>
            </w:r>
            <w:r>
              <w:t>nding that the recording may be subject to disclosure to DFPS, law enforcement, or another party under a court order;</w:t>
            </w:r>
          </w:p>
          <w:p w14:paraId="6854DC99" w14:textId="2641F0FB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request and receive a copy of </w:t>
            </w:r>
            <w:r w:rsidR="00EE4EFF">
              <w:t xml:space="preserve">the current </w:t>
            </w:r>
            <w:r>
              <w:t>DFPS recording policy;</w:t>
            </w:r>
          </w:p>
          <w:p w14:paraId="1A9FD5F7" w14:textId="023A6B17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refuse to allow the investigator to enter the home or interview the child</w:t>
            </w:r>
            <w:r>
              <w:t>ren without legal counsel present;</w:t>
            </w:r>
          </w:p>
          <w:p w14:paraId="00E02C4B" w14:textId="3F56A7A8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withhold consent to the release of any medical or mental health records;</w:t>
            </w:r>
          </w:p>
          <w:p w14:paraId="330FD844" w14:textId="0D0F4B0C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withhold consent to any medical or psychological examination of the child;</w:t>
            </w:r>
          </w:p>
          <w:p w14:paraId="01E88A31" w14:textId="2B6C4A52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refuse to submit to a drug test;</w:t>
            </w:r>
          </w:p>
          <w:p w14:paraId="510A1E7A" w14:textId="2DCB7906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consult with legal counsel prior to agre</w:t>
            </w:r>
            <w:r>
              <w:t>eing to any proposed voluntary safety plan;</w:t>
            </w:r>
          </w:p>
          <w:p w14:paraId="0C401803" w14:textId="5DE401D1" w:rsidR="007673BC" w:rsidRDefault="00DE7B22" w:rsidP="0085563B">
            <w:pPr>
              <w:pStyle w:val="Header"/>
              <w:numPr>
                <w:ilvl w:val="0"/>
                <w:numId w:val="1"/>
              </w:numPr>
              <w:jc w:val="both"/>
            </w:pPr>
            <w:r>
              <w:t>be notified of and attend any court hearings related to or arising from the investigation; and</w:t>
            </w:r>
          </w:p>
          <w:p w14:paraId="17DD328B" w14:textId="4AC698F0" w:rsidR="007673BC" w:rsidRDefault="00DE7B22" w:rsidP="0085563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on request, have an interpreter</w:t>
            </w:r>
            <w:r w:rsidR="00E3227B">
              <w:t>.</w:t>
            </w:r>
          </w:p>
          <w:p w14:paraId="61EF59C3" w14:textId="0472489A" w:rsidR="009C36CD" w:rsidRPr="009C36CD" w:rsidRDefault="00DE7B22" w:rsidP="00855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written summary of information DFPS provides to the person to </w:t>
            </w:r>
            <w:r>
              <w:t>include each of those rights</w:t>
            </w:r>
            <w:r w:rsidR="00F17AF5">
              <w:t xml:space="preserve"> </w:t>
            </w:r>
            <w:r>
              <w:t xml:space="preserve">and requires the written summary also to be provided upon first contact, rather than as soon as possible after initiating the investigation as is currently required. </w:t>
            </w:r>
            <w:r w:rsidR="00F17AF5">
              <w:t xml:space="preserve">The bill requires DFPS to </w:t>
            </w:r>
            <w:r w:rsidR="00F17AF5" w:rsidRPr="00F17AF5">
              <w:t xml:space="preserve">adopt a form for the purpose of verifying that </w:t>
            </w:r>
            <w:r w:rsidR="00F17AF5" w:rsidRPr="00873F21">
              <w:t xml:space="preserve">the </w:t>
            </w:r>
            <w:r w:rsidR="00873F21">
              <w:t>person</w:t>
            </w:r>
            <w:r w:rsidR="00F17AF5" w:rsidRPr="00F17AF5">
              <w:t xml:space="preserve"> received the </w:t>
            </w:r>
            <w:r w:rsidR="00F17AF5">
              <w:t>verbal notification and written summary.</w:t>
            </w:r>
          </w:p>
          <w:p w14:paraId="36537817" w14:textId="77777777" w:rsidR="008423E4" w:rsidRPr="00835628" w:rsidRDefault="008423E4" w:rsidP="0085563B">
            <w:pPr>
              <w:rPr>
                <w:b/>
              </w:rPr>
            </w:pPr>
          </w:p>
        </w:tc>
      </w:tr>
      <w:tr w:rsidR="003D2D67" w14:paraId="0E61A9CF" w14:textId="77777777" w:rsidTr="00FB4403">
        <w:tc>
          <w:tcPr>
            <w:tcW w:w="9360" w:type="dxa"/>
          </w:tcPr>
          <w:p w14:paraId="27EB008C" w14:textId="77777777" w:rsidR="008423E4" w:rsidRPr="00A8133F" w:rsidRDefault="00DE7B22" w:rsidP="008556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80CE67" w14:textId="77777777" w:rsidR="008423E4" w:rsidRDefault="008423E4" w:rsidP="0085563B"/>
          <w:p w14:paraId="517B3390" w14:textId="329913B2" w:rsidR="008423E4" w:rsidRPr="003624F2" w:rsidRDefault="00DE7B22" w:rsidP="008556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E75F5BF" w14:textId="77777777" w:rsidR="008423E4" w:rsidRPr="00233FDB" w:rsidRDefault="008423E4" w:rsidP="0085563B">
            <w:pPr>
              <w:rPr>
                <w:b/>
              </w:rPr>
            </w:pPr>
          </w:p>
        </w:tc>
      </w:tr>
      <w:tr w:rsidR="003D2D67" w14:paraId="28DBCED3" w14:textId="77777777" w:rsidTr="00FB4403">
        <w:tc>
          <w:tcPr>
            <w:tcW w:w="9360" w:type="dxa"/>
          </w:tcPr>
          <w:p w14:paraId="31C38E19" w14:textId="77777777" w:rsidR="0059462F" w:rsidRDefault="00DE7B22" w:rsidP="005946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95A1DDD" w14:textId="77777777" w:rsidR="005F39FB" w:rsidRDefault="005F39FB" w:rsidP="0059462F">
            <w:pPr>
              <w:jc w:val="both"/>
              <w:rPr>
                <w:b/>
                <w:u w:val="single"/>
              </w:rPr>
            </w:pPr>
          </w:p>
          <w:p w14:paraId="5A62D783" w14:textId="77777777" w:rsidR="00FB4403" w:rsidRDefault="00DE7B22" w:rsidP="00FB4403">
            <w:pPr>
              <w:jc w:val="both"/>
            </w:pPr>
            <w:r>
              <w:t xml:space="preserve">While C.S.H.B. 2298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14:paraId="1CF29861" w14:textId="77777777" w:rsidR="00FB4403" w:rsidRDefault="00FB4403" w:rsidP="00FB4403">
            <w:pPr>
              <w:jc w:val="both"/>
            </w:pPr>
          </w:p>
          <w:p w14:paraId="21CC8846" w14:textId="77777777" w:rsidR="00FB4403" w:rsidRDefault="00DE7B22" w:rsidP="00FB4403">
            <w:pPr>
              <w:jc w:val="both"/>
            </w:pPr>
            <w:r>
              <w:t>Whereas the original only required the notification of each listed right to be provided verbally, the substitute requires the notification to also</w:t>
            </w:r>
            <w:r>
              <w:t xml:space="preserve"> be provided in written form. With respect to those rights, the substitute makes the following changes to the original's provisions:</w:t>
            </w:r>
          </w:p>
          <w:p w14:paraId="3E94A066" w14:textId="77777777" w:rsidR="00FB4403" w:rsidRDefault="00DE7B22" w:rsidP="00FB440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limits </w:t>
            </w:r>
            <w:r w:rsidRPr="00845244">
              <w:t>the interactions or interviews</w:t>
            </w:r>
            <w:r>
              <w:t xml:space="preserve"> which the person has a right to record to those to which the person is a party and specifies that the recording may be made openly or secretly; </w:t>
            </w:r>
          </w:p>
          <w:p w14:paraId="66DA4105" w14:textId="77777777" w:rsidR="00FB4403" w:rsidRDefault="00DE7B22" w:rsidP="00FB440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includes as an additional right not in the original the right to </w:t>
            </w:r>
            <w:r w:rsidRPr="00A2296F">
              <w:t xml:space="preserve">request and receive a copy of </w:t>
            </w:r>
            <w:r>
              <w:t>the current DFP</w:t>
            </w:r>
            <w:r>
              <w:t>S recording policy; and</w:t>
            </w:r>
          </w:p>
          <w:p w14:paraId="47372038" w14:textId="5DFD4018" w:rsidR="00FB4403" w:rsidRPr="00FB4403" w:rsidRDefault="00DE7B22" w:rsidP="00FB4403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>provides that there is a right to have an interpreter on request, whereas the original provided that there is a right to an interpreter if the person does not speak English.</w:t>
            </w:r>
          </w:p>
        </w:tc>
      </w:tr>
    </w:tbl>
    <w:p w14:paraId="53BC22C5" w14:textId="77777777" w:rsidR="008423E4" w:rsidRPr="00BE0E75" w:rsidRDefault="008423E4" w:rsidP="0085563B">
      <w:pPr>
        <w:jc w:val="both"/>
        <w:rPr>
          <w:rFonts w:ascii="Arial" w:hAnsi="Arial"/>
          <w:sz w:val="16"/>
          <w:szCs w:val="16"/>
        </w:rPr>
      </w:pPr>
    </w:p>
    <w:p w14:paraId="738EBEB9" w14:textId="77777777" w:rsidR="004108C3" w:rsidRPr="008423E4" w:rsidRDefault="004108C3" w:rsidP="0085563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472D0" w14:textId="77777777" w:rsidR="00000000" w:rsidRDefault="00DE7B22">
      <w:r>
        <w:separator/>
      </w:r>
    </w:p>
  </w:endnote>
  <w:endnote w:type="continuationSeparator" w:id="0">
    <w:p w14:paraId="24479C07" w14:textId="77777777" w:rsidR="00000000" w:rsidRDefault="00D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4F0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2D67" w14:paraId="5A123C09" w14:textId="77777777" w:rsidTr="009C1E9A">
      <w:trPr>
        <w:cantSplit/>
      </w:trPr>
      <w:tc>
        <w:tcPr>
          <w:tcW w:w="0" w:type="pct"/>
        </w:tcPr>
        <w:p w14:paraId="6FD7F3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AA159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E1851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BC710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488B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2D67" w14:paraId="46FDF6DA" w14:textId="77777777" w:rsidTr="009C1E9A">
      <w:trPr>
        <w:cantSplit/>
      </w:trPr>
      <w:tc>
        <w:tcPr>
          <w:tcW w:w="0" w:type="pct"/>
        </w:tcPr>
        <w:p w14:paraId="08960A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2912AA" w14:textId="7C646D9E" w:rsidR="00EC379B" w:rsidRPr="009C1E9A" w:rsidRDefault="00DE7B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23182</w:t>
          </w:r>
        </w:p>
      </w:tc>
      <w:tc>
        <w:tcPr>
          <w:tcW w:w="2453" w:type="pct"/>
        </w:tcPr>
        <w:p w14:paraId="65BE0CCD" w14:textId="00395A44" w:rsidR="00EC379B" w:rsidRDefault="00DE7B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0B26">
            <w:t>21.117.1061</w:t>
          </w:r>
          <w:r>
            <w:fldChar w:fldCharType="end"/>
          </w:r>
        </w:p>
      </w:tc>
    </w:tr>
    <w:tr w:rsidR="003D2D67" w14:paraId="195E2067" w14:textId="77777777" w:rsidTr="009C1E9A">
      <w:trPr>
        <w:cantSplit/>
      </w:trPr>
      <w:tc>
        <w:tcPr>
          <w:tcW w:w="0" w:type="pct"/>
        </w:tcPr>
        <w:p w14:paraId="17F3F5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530E13A" w14:textId="1CABE87E" w:rsidR="00EC379B" w:rsidRPr="009C1E9A" w:rsidRDefault="00DE7B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18152</w:t>
          </w:r>
        </w:p>
      </w:tc>
      <w:tc>
        <w:tcPr>
          <w:tcW w:w="2453" w:type="pct"/>
        </w:tcPr>
        <w:p w14:paraId="3F3D1A4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625F61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2D67" w14:paraId="37FF79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0DDFAA" w14:textId="75790D15" w:rsidR="00EC379B" w:rsidRDefault="00DE7B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30B2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6E4A6B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EEC400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0F0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95B6" w14:textId="77777777" w:rsidR="00000000" w:rsidRDefault="00DE7B22">
      <w:r>
        <w:separator/>
      </w:r>
    </w:p>
  </w:footnote>
  <w:footnote w:type="continuationSeparator" w:id="0">
    <w:p w14:paraId="39D4B6C6" w14:textId="77777777" w:rsidR="00000000" w:rsidRDefault="00DE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CE2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E6E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54F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E95"/>
    <w:multiLevelType w:val="hybridMultilevel"/>
    <w:tmpl w:val="DFAC83C8"/>
    <w:lvl w:ilvl="0" w:tplc="752CA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C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E1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69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4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A3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D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2F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636"/>
    <w:multiLevelType w:val="hybridMultilevel"/>
    <w:tmpl w:val="A25AC7E2"/>
    <w:lvl w:ilvl="0" w:tplc="C938F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67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88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46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8B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2D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07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1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EC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6FCA"/>
    <w:multiLevelType w:val="hybridMultilevel"/>
    <w:tmpl w:val="B42221B4"/>
    <w:lvl w:ilvl="0" w:tplc="DEB09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CB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8F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0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E7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C1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868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B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E1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4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5966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950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65FE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50BE"/>
    <w:rsid w:val="001F6B91"/>
    <w:rsid w:val="001F703C"/>
    <w:rsid w:val="00200B9E"/>
    <w:rsid w:val="00200BF5"/>
    <w:rsid w:val="002010D1"/>
    <w:rsid w:val="00201338"/>
    <w:rsid w:val="0020775D"/>
    <w:rsid w:val="0021068A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43E"/>
    <w:rsid w:val="003305F5"/>
    <w:rsid w:val="003324D7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D67"/>
    <w:rsid w:val="003D726D"/>
    <w:rsid w:val="003E0875"/>
    <w:rsid w:val="003E0BB8"/>
    <w:rsid w:val="003E6CB0"/>
    <w:rsid w:val="003F1F5E"/>
    <w:rsid w:val="003F286A"/>
    <w:rsid w:val="003F77F8"/>
    <w:rsid w:val="00400ACD"/>
    <w:rsid w:val="00401153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24F"/>
    <w:rsid w:val="00461B69"/>
    <w:rsid w:val="00462B3D"/>
    <w:rsid w:val="0047205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2E09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62F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9F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0E0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3BC"/>
    <w:rsid w:val="0077098E"/>
    <w:rsid w:val="00771287"/>
    <w:rsid w:val="0077149E"/>
    <w:rsid w:val="00777518"/>
    <w:rsid w:val="0077779E"/>
    <w:rsid w:val="00780FB6"/>
    <w:rsid w:val="007818F5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71F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457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3756A"/>
    <w:rsid w:val="0084176D"/>
    <w:rsid w:val="008423E4"/>
    <w:rsid w:val="00842900"/>
    <w:rsid w:val="00845244"/>
    <w:rsid w:val="00850CF0"/>
    <w:rsid w:val="00851869"/>
    <w:rsid w:val="00851C04"/>
    <w:rsid w:val="008531A1"/>
    <w:rsid w:val="00853A94"/>
    <w:rsid w:val="008547A3"/>
    <w:rsid w:val="0085563B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F21"/>
    <w:rsid w:val="00874C05"/>
    <w:rsid w:val="0087680A"/>
    <w:rsid w:val="008806EB"/>
    <w:rsid w:val="008826F2"/>
    <w:rsid w:val="008845BA"/>
    <w:rsid w:val="00885203"/>
    <w:rsid w:val="008859CA"/>
    <w:rsid w:val="008861EE"/>
    <w:rsid w:val="008874B9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96F"/>
    <w:rsid w:val="00A232E4"/>
    <w:rsid w:val="00A24AAD"/>
    <w:rsid w:val="00A265FA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BA5"/>
    <w:rsid w:val="00A674EC"/>
    <w:rsid w:val="00A70E35"/>
    <w:rsid w:val="00A720DC"/>
    <w:rsid w:val="00A803CF"/>
    <w:rsid w:val="00A8133F"/>
    <w:rsid w:val="00A82CB4"/>
    <w:rsid w:val="00A837A8"/>
    <w:rsid w:val="00A83C36"/>
    <w:rsid w:val="00A874BD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B26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3F37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FFB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5F1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340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E7B2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5E1"/>
    <w:rsid w:val="00E21D55"/>
    <w:rsid w:val="00E21FDC"/>
    <w:rsid w:val="00E2551E"/>
    <w:rsid w:val="00E26B13"/>
    <w:rsid w:val="00E27E5A"/>
    <w:rsid w:val="00E31135"/>
    <w:rsid w:val="00E317BA"/>
    <w:rsid w:val="00E3227B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D9C"/>
    <w:rsid w:val="00E500F1"/>
    <w:rsid w:val="00E51446"/>
    <w:rsid w:val="00E51E4E"/>
    <w:rsid w:val="00E529C8"/>
    <w:rsid w:val="00E5525E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4EFF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DBF"/>
    <w:rsid w:val="00F11E04"/>
    <w:rsid w:val="00F12B24"/>
    <w:rsid w:val="00F12BC7"/>
    <w:rsid w:val="00F15223"/>
    <w:rsid w:val="00F164B4"/>
    <w:rsid w:val="00F176E4"/>
    <w:rsid w:val="00F17AF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4403"/>
    <w:rsid w:val="00FB73AE"/>
    <w:rsid w:val="00FC5388"/>
    <w:rsid w:val="00FC726C"/>
    <w:rsid w:val="00FD1B4B"/>
    <w:rsid w:val="00FD1B94"/>
    <w:rsid w:val="00FD4D3A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DB8B7F-9C70-4769-9559-A812566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1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E4E"/>
    <w:rPr>
      <w:b/>
      <w:bCs/>
    </w:rPr>
  </w:style>
  <w:style w:type="paragraph" w:styleId="ListParagraph">
    <w:name w:val="List Paragraph"/>
    <w:basedOn w:val="Normal"/>
    <w:uiPriority w:val="34"/>
    <w:qFormat/>
    <w:rsid w:val="0033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3499</Characters>
  <Application>Microsoft Office Word</Application>
  <DocSecurity>4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HB02298 (Committee Report (Substituted))</vt:lpstr>
    </vt:vector>
  </TitlesOfParts>
  <Company>State of Texas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23182</dc:subject>
  <dc:creator>State of Texas</dc:creator>
  <dc:description>HB 2298 by Cason-(H)Human Services (Substitute Document Number: 87R 18152)</dc:description>
  <cp:lastModifiedBy>Stacey Nicchio</cp:lastModifiedBy>
  <cp:revision>2</cp:revision>
  <cp:lastPrinted>2003-11-26T17:21:00Z</cp:lastPrinted>
  <dcterms:created xsi:type="dcterms:W3CDTF">2021-04-28T16:04:00Z</dcterms:created>
  <dcterms:modified xsi:type="dcterms:W3CDTF">2021-04-28T16:04:00Z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21.117.1061</vt:lpwstr>
  </property>
</Properties>
</file>