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96D01" w14:paraId="1D5C73D7" w14:textId="77777777" w:rsidTr="00345119">
        <w:tc>
          <w:tcPr>
            <w:tcW w:w="9576" w:type="dxa"/>
            <w:noWrap/>
          </w:tcPr>
          <w:p w14:paraId="0A4BE9FE" w14:textId="77777777" w:rsidR="008423E4" w:rsidRPr="0022177D" w:rsidRDefault="003E67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ED4CC47" w14:textId="77777777" w:rsidR="008423E4" w:rsidRPr="0022177D" w:rsidRDefault="008423E4" w:rsidP="008423E4">
      <w:pPr>
        <w:jc w:val="center"/>
      </w:pPr>
    </w:p>
    <w:p w14:paraId="44ADC371" w14:textId="77777777" w:rsidR="008423E4" w:rsidRPr="00B31F0E" w:rsidRDefault="008423E4" w:rsidP="008423E4"/>
    <w:p w14:paraId="592FA56F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6D01" w14:paraId="24BB06CD" w14:textId="77777777" w:rsidTr="00345119">
        <w:tc>
          <w:tcPr>
            <w:tcW w:w="9576" w:type="dxa"/>
          </w:tcPr>
          <w:p w14:paraId="13EA75EF" w14:textId="61233F6B" w:rsidR="008423E4" w:rsidRPr="00861995" w:rsidRDefault="003E671A" w:rsidP="00345119">
            <w:pPr>
              <w:jc w:val="right"/>
            </w:pPr>
            <w:r>
              <w:t>H.B. 2357</w:t>
            </w:r>
          </w:p>
        </w:tc>
      </w:tr>
      <w:tr w:rsidR="00296D01" w14:paraId="5288D525" w14:textId="77777777" w:rsidTr="00345119">
        <w:tc>
          <w:tcPr>
            <w:tcW w:w="9576" w:type="dxa"/>
          </w:tcPr>
          <w:p w14:paraId="3600AA0F" w14:textId="1F97D8EC" w:rsidR="008423E4" w:rsidRPr="00861995" w:rsidRDefault="003E671A" w:rsidP="00147AA1">
            <w:pPr>
              <w:jc w:val="right"/>
            </w:pPr>
            <w:r>
              <w:t xml:space="preserve">By: </w:t>
            </w:r>
            <w:r w:rsidR="00147AA1">
              <w:t>Reynolds</w:t>
            </w:r>
          </w:p>
        </w:tc>
      </w:tr>
      <w:tr w:rsidR="00296D01" w14:paraId="68D670F0" w14:textId="77777777" w:rsidTr="00345119">
        <w:tc>
          <w:tcPr>
            <w:tcW w:w="9576" w:type="dxa"/>
          </w:tcPr>
          <w:p w14:paraId="6665C228" w14:textId="0A0E9A24" w:rsidR="008423E4" w:rsidRPr="00861995" w:rsidRDefault="003E671A" w:rsidP="00345119">
            <w:pPr>
              <w:jc w:val="right"/>
            </w:pPr>
            <w:r>
              <w:t>Criminal Jurisprudence</w:t>
            </w:r>
          </w:p>
        </w:tc>
      </w:tr>
      <w:tr w:rsidR="00296D01" w14:paraId="71051FDA" w14:textId="77777777" w:rsidTr="00345119">
        <w:tc>
          <w:tcPr>
            <w:tcW w:w="9576" w:type="dxa"/>
          </w:tcPr>
          <w:p w14:paraId="05B7A36C" w14:textId="39DD465F" w:rsidR="008423E4" w:rsidRDefault="003E671A" w:rsidP="00345119">
            <w:pPr>
              <w:jc w:val="right"/>
            </w:pPr>
            <w:r>
              <w:t>Committee Report (Unamended)</w:t>
            </w:r>
          </w:p>
        </w:tc>
      </w:tr>
    </w:tbl>
    <w:p w14:paraId="6CA3E22F" w14:textId="77777777" w:rsidR="008423E4" w:rsidRDefault="008423E4" w:rsidP="008423E4">
      <w:pPr>
        <w:tabs>
          <w:tab w:val="right" w:pos="9360"/>
        </w:tabs>
      </w:pPr>
    </w:p>
    <w:p w14:paraId="662905CE" w14:textId="77777777" w:rsidR="008423E4" w:rsidRDefault="008423E4" w:rsidP="008423E4"/>
    <w:p w14:paraId="4ED09CDB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96D01" w14:paraId="605F5E36" w14:textId="77777777" w:rsidTr="00345119">
        <w:tc>
          <w:tcPr>
            <w:tcW w:w="9576" w:type="dxa"/>
          </w:tcPr>
          <w:p w14:paraId="341E626A" w14:textId="77777777" w:rsidR="008423E4" w:rsidRPr="00A8133F" w:rsidRDefault="003E671A" w:rsidP="00773BD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CB242B8" w14:textId="77777777" w:rsidR="008423E4" w:rsidRPr="00773BD2" w:rsidRDefault="008423E4" w:rsidP="00773BD2">
            <w:pPr>
              <w:rPr>
                <w:sz w:val="22"/>
                <w:szCs w:val="22"/>
              </w:rPr>
            </w:pPr>
          </w:p>
          <w:p w14:paraId="2DB647E4" w14:textId="3EB0EDA3" w:rsidR="008423E4" w:rsidRDefault="003E671A" w:rsidP="00773BD2">
            <w:pPr>
              <w:pStyle w:val="Header"/>
              <w:jc w:val="both"/>
            </w:pPr>
            <w:r>
              <w:t xml:space="preserve">In this age of information dissemination via social media and other outlets that do not have stringent oversight protections for </w:t>
            </w:r>
            <w:r>
              <w:t>child abuse victims</w:t>
            </w:r>
            <w:r w:rsidR="00FD5100">
              <w:t xml:space="preserve">, </w:t>
            </w:r>
            <w:r>
              <w:t xml:space="preserve">the issue of privacy and confidentiality gets lost when it comes to children who are victims of crimes. </w:t>
            </w:r>
            <w:r w:rsidR="00FD5100">
              <w:t>All c</w:t>
            </w:r>
            <w:r>
              <w:t>hildren have the right to privacy and the right to prevent online disclosure of court documents of a criminal case even when t</w:t>
            </w:r>
            <w:r>
              <w:t xml:space="preserve">he criminal case is over. </w:t>
            </w:r>
            <w:r w:rsidR="00FD5100">
              <w:t>It has been suggested that child victims of sexual abuse and sexual assault should be afforded similar disclosure protections currently in place for j</w:t>
            </w:r>
            <w:r>
              <w:t xml:space="preserve">uvenile </w:t>
            </w:r>
            <w:r w:rsidR="00A257D0">
              <w:t>offenders</w:t>
            </w:r>
            <w:r>
              <w:t>.</w:t>
            </w:r>
            <w:r w:rsidR="00FD5100">
              <w:t xml:space="preserve"> </w:t>
            </w:r>
            <w:r>
              <w:t>H</w:t>
            </w:r>
            <w:r w:rsidR="00FD5100">
              <w:t>.</w:t>
            </w:r>
            <w:r>
              <w:t>B</w:t>
            </w:r>
            <w:r w:rsidR="00FD5100">
              <w:t>.</w:t>
            </w:r>
            <w:r>
              <w:t xml:space="preserve"> 2357</w:t>
            </w:r>
            <w:r w:rsidR="00FD5100">
              <w:t xml:space="preserve"> seeks to address this issue by</w:t>
            </w:r>
            <w:r>
              <w:t xml:space="preserve"> </w:t>
            </w:r>
            <w:r w:rsidR="00FD5100">
              <w:t xml:space="preserve">providing for the confidentiality of information identifying </w:t>
            </w:r>
            <w:r w:rsidR="00FD5100" w:rsidRPr="00FD5100">
              <w:t xml:space="preserve">an individual as </w:t>
            </w:r>
            <w:r w:rsidR="00FD5100">
              <w:t>a child victim of certain offenses</w:t>
            </w:r>
            <w:r>
              <w:t>.</w:t>
            </w:r>
          </w:p>
          <w:p w14:paraId="44F0AE66" w14:textId="77777777" w:rsidR="008423E4" w:rsidRPr="00773BD2" w:rsidRDefault="008423E4" w:rsidP="00773BD2">
            <w:pPr>
              <w:rPr>
                <w:b/>
                <w:sz w:val="22"/>
                <w:szCs w:val="22"/>
              </w:rPr>
            </w:pPr>
          </w:p>
        </w:tc>
      </w:tr>
      <w:tr w:rsidR="00296D01" w14:paraId="3FEBFB5E" w14:textId="77777777" w:rsidTr="00345119">
        <w:tc>
          <w:tcPr>
            <w:tcW w:w="9576" w:type="dxa"/>
          </w:tcPr>
          <w:p w14:paraId="45AE31AE" w14:textId="77777777" w:rsidR="0017725B" w:rsidRDefault="003E671A" w:rsidP="00773B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6B4C7E9" w14:textId="77777777" w:rsidR="0017725B" w:rsidRPr="00773BD2" w:rsidRDefault="0017725B" w:rsidP="00773BD2">
            <w:pPr>
              <w:rPr>
                <w:b/>
                <w:sz w:val="22"/>
                <w:szCs w:val="22"/>
                <w:u w:val="single"/>
              </w:rPr>
            </w:pPr>
          </w:p>
          <w:p w14:paraId="20661E79" w14:textId="77777777" w:rsidR="005F4095" w:rsidRPr="005F4095" w:rsidRDefault="003E671A" w:rsidP="00773BD2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14:paraId="08ABBFDB" w14:textId="77777777" w:rsidR="0017725B" w:rsidRPr="00773BD2" w:rsidRDefault="0017725B" w:rsidP="00773BD2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296D01" w14:paraId="3F55CF33" w14:textId="77777777" w:rsidTr="00345119">
        <w:tc>
          <w:tcPr>
            <w:tcW w:w="9576" w:type="dxa"/>
          </w:tcPr>
          <w:p w14:paraId="5B171193" w14:textId="77777777" w:rsidR="008423E4" w:rsidRPr="00A8133F" w:rsidRDefault="003E671A" w:rsidP="00773BD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0A18BC" w14:textId="77777777" w:rsidR="008423E4" w:rsidRPr="00773BD2" w:rsidRDefault="008423E4" w:rsidP="00773BD2">
            <w:pPr>
              <w:rPr>
                <w:sz w:val="22"/>
                <w:szCs w:val="22"/>
              </w:rPr>
            </w:pPr>
          </w:p>
          <w:p w14:paraId="6163A017" w14:textId="77777777" w:rsidR="005F4095" w:rsidRDefault="003E671A" w:rsidP="00773B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14:paraId="46016A3F" w14:textId="77777777" w:rsidR="008423E4" w:rsidRPr="00773BD2" w:rsidRDefault="008423E4" w:rsidP="00773BD2">
            <w:pPr>
              <w:rPr>
                <w:b/>
                <w:sz w:val="22"/>
                <w:szCs w:val="22"/>
              </w:rPr>
            </w:pPr>
          </w:p>
        </w:tc>
      </w:tr>
      <w:tr w:rsidR="00296D01" w14:paraId="42ED481F" w14:textId="77777777" w:rsidTr="00345119">
        <w:tc>
          <w:tcPr>
            <w:tcW w:w="9576" w:type="dxa"/>
          </w:tcPr>
          <w:p w14:paraId="59FAA8F9" w14:textId="77777777" w:rsidR="008423E4" w:rsidRPr="00A8133F" w:rsidRDefault="003E671A" w:rsidP="00773BD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031434F" w14:textId="77777777" w:rsidR="008423E4" w:rsidRPr="00773BD2" w:rsidRDefault="008423E4" w:rsidP="00773BD2">
            <w:pPr>
              <w:rPr>
                <w:sz w:val="22"/>
                <w:szCs w:val="22"/>
              </w:rPr>
            </w:pPr>
          </w:p>
          <w:p w14:paraId="7CEFE1EC" w14:textId="226E5342" w:rsidR="009C36CD" w:rsidRDefault="003E671A" w:rsidP="00773B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2357 amends the Government Code to </w:t>
            </w:r>
            <w:r w:rsidR="00FF2731">
              <w:t xml:space="preserve">make confidential and excepted from disclosure under state public information law </w:t>
            </w:r>
            <w:r>
              <w:t>information identifying an individual as the</w:t>
            </w:r>
            <w:r>
              <w:t xml:space="preserve"> following:</w:t>
            </w:r>
          </w:p>
          <w:p w14:paraId="19BB0BBB" w14:textId="73282863" w:rsidR="005F4095" w:rsidRDefault="003E671A" w:rsidP="00773BD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victim of </w:t>
            </w:r>
            <w:r w:rsidR="00FF2731">
              <w:t>a criminal offense who was</w:t>
            </w:r>
            <w:r>
              <w:t xml:space="preserve"> younger than 18 years of age when any element of the offense was committed; or</w:t>
            </w:r>
          </w:p>
          <w:p w14:paraId="37BDC380" w14:textId="77777777" w:rsidR="005F4095" w:rsidRDefault="003E671A" w:rsidP="00773BD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victim of any of the following offenses or an offense that is part of the same crimi</w:t>
            </w:r>
            <w:r w:rsidR="00512089">
              <w:t>nal episode as any such offense</w:t>
            </w:r>
            <w:r>
              <w:t>:</w:t>
            </w:r>
          </w:p>
          <w:p w14:paraId="0601D2AE" w14:textId="77777777" w:rsidR="005F4095" w:rsidRDefault="003E671A" w:rsidP="00773BD2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traffic</w:t>
            </w:r>
            <w:r>
              <w:t>king of persons or continuous trafficking of persons;</w:t>
            </w:r>
          </w:p>
          <w:p w14:paraId="0EFC1423" w14:textId="77777777" w:rsidR="005F4095" w:rsidRDefault="003E671A" w:rsidP="00773BD2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continuous sexual abuse of young child or children;</w:t>
            </w:r>
          </w:p>
          <w:p w14:paraId="779D3BA8" w14:textId="77777777" w:rsidR="005F4095" w:rsidRDefault="003E671A" w:rsidP="00773BD2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indecency with a child;</w:t>
            </w:r>
          </w:p>
          <w:p w14:paraId="66069E08" w14:textId="77777777" w:rsidR="005F4095" w:rsidRDefault="003E671A" w:rsidP="00773BD2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sexual assault or aggravated sexual assault;</w:t>
            </w:r>
          </w:p>
          <w:p w14:paraId="26E97871" w14:textId="77777777" w:rsidR="005F4095" w:rsidRDefault="003E671A" w:rsidP="00773BD2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compelling prostitution; or</w:t>
            </w:r>
          </w:p>
          <w:p w14:paraId="65BE513A" w14:textId="77777777" w:rsidR="005F4095" w:rsidRDefault="003E671A" w:rsidP="00773BD2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sexual performance by a child.</w:t>
            </w:r>
          </w:p>
          <w:p w14:paraId="513F1787" w14:textId="77777777" w:rsidR="005F4095" w:rsidRDefault="003E671A" w:rsidP="00773B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0738CB">
              <w:t>authorizes the</w:t>
            </w:r>
            <w:r w:rsidR="00512089">
              <w:t xml:space="preserve"> disclosure of any such identifying information </w:t>
            </w:r>
            <w:r w:rsidR="000738CB">
              <w:t>as follows</w:t>
            </w:r>
            <w:r w:rsidR="00512089">
              <w:t>:</w:t>
            </w:r>
          </w:p>
          <w:p w14:paraId="7C7680BD" w14:textId="3140EEBC" w:rsidR="00512089" w:rsidRDefault="003E671A" w:rsidP="00773BD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any victim identified by the information, or the parent or guardian of an identified victim </w:t>
            </w:r>
            <w:r w:rsidR="00FF2731">
              <w:t xml:space="preserve">who was </w:t>
            </w:r>
            <w:r>
              <w:t>younger than 18 years of age when any element of the offense was committed;</w:t>
            </w:r>
          </w:p>
          <w:p w14:paraId="6935C5AC" w14:textId="77777777" w:rsidR="00512089" w:rsidRDefault="003E671A" w:rsidP="00773BD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a law </w:t>
            </w:r>
            <w:r>
              <w:t>enforcement agency for investigative purposes; or</w:t>
            </w:r>
          </w:p>
          <w:p w14:paraId="4EED50CB" w14:textId="77777777" w:rsidR="00512089" w:rsidRPr="009C36CD" w:rsidRDefault="003E671A" w:rsidP="00773BD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in accordance with a court order requiring the disclosure.</w:t>
            </w:r>
          </w:p>
          <w:p w14:paraId="01415883" w14:textId="77777777" w:rsidR="008423E4" w:rsidRPr="00835628" w:rsidRDefault="008423E4" w:rsidP="00773BD2">
            <w:pPr>
              <w:rPr>
                <w:b/>
              </w:rPr>
            </w:pPr>
          </w:p>
        </w:tc>
      </w:tr>
      <w:tr w:rsidR="00296D01" w14:paraId="187458D1" w14:textId="77777777" w:rsidTr="00345119">
        <w:tc>
          <w:tcPr>
            <w:tcW w:w="9576" w:type="dxa"/>
          </w:tcPr>
          <w:p w14:paraId="23F49F63" w14:textId="77777777" w:rsidR="008423E4" w:rsidRPr="00A8133F" w:rsidRDefault="003E671A" w:rsidP="00773BD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A935AE6" w14:textId="77777777" w:rsidR="008423E4" w:rsidRPr="00773BD2" w:rsidRDefault="008423E4" w:rsidP="00773BD2">
            <w:pPr>
              <w:rPr>
                <w:sz w:val="22"/>
                <w:szCs w:val="22"/>
              </w:rPr>
            </w:pPr>
          </w:p>
          <w:p w14:paraId="021323C4" w14:textId="77777777" w:rsidR="008423E4" w:rsidRPr="003624F2" w:rsidRDefault="003E671A" w:rsidP="00773B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34FD392" w14:textId="77777777" w:rsidR="008423E4" w:rsidRPr="00773BD2" w:rsidRDefault="008423E4" w:rsidP="00773BD2">
            <w:pPr>
              <w:rPr>
                <w:b/>
                <w:sz w:val="2"/>
                <w:szCs w:val="2"/>
              </w:rPr>
            </w:pPr>
          </w:p>
        </w:tc>
      </w:tr>
    </w:tbl>
    <w:p w14:paraId="4581EF10" w14:textId="6C33D995" w:rsidR="004108C3" w:rsidRPr="00773BD2" w:rsidRDefault="004108C3" w:rsidP="008423E4">
      <w:pPr>
        <w:rPr>
          <w:sz w:val="2"/>
          <w:szCs w:val="2"/>
        </w:rPr>
      </w:pPr>
    </w:p>
    <w:sectPr w:rsidR="004108C3" w:rsidRPr="00773BD2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6B3CA" w14:textId="77777777" w:rsidR="00000000" w:rsidRDefault="003E671A">
      <w:r>
        <w:separator/>
      </w:r>
    </w:p>
  </w:endnote>
  <w:endnote w:type="continuationSeparator" w:id="0">
    <w:p w14:paraId="023381E4" w14:textId="77777777" w:rsidR="00000000" w:rsidRDefault="003E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99B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6D01" w14:paraId="4D5EF052" w14:textId="77777777" w:rsidTr="009C1E9A">
      <w:trPr>
        <w:cantSplit/>
      </w:trPr>
      <w:tc>
        <w:tcPr>
          <w:tcW w:w="0" w:type="pct"/>
        </w:tcPr>
        <w:p w14:paraId="733D348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1486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7A4D3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2F07B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EACFC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6D01" w14:paraId="77B27865" w14:textId="77777777" w:rsidTr="009C1E9A">
      <w:trPr>
        <w:cantSplit/>
      </w:trPr>
      <w:tc>
        <w:tcPr>
          <w:tcW w:w="0" w:type="pct"/>
        </w:tcPr>
        <w:p w14:paraId="4E365A8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3B8D44" w14:textId="6EB9674F" w:rsidR="00EC379B" w:rsidRPr="009C1E9A" w:rsidRDefault="003E67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23869</w:t>
          </w:r>
        </w:p>
      </w:tc>
      <w:tc>
        <w:tcPr>
          <w:tcW w:w="2453" w:type="pct"/>
        </w:tcPr>
        <w:p w14:paraId="05A7213B" w14:textId="17829892" w:rsidR="00EC379B" w:rsidRDefault="003E67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B790E">
            <w:t>21.122.583</w:t>
          </w:r>
          <w:r>
            <w:fldChar w:fldCharType="end"/>
          </w:r>
        </w:p>
      </w:tc>
    </w:tr>
    <w:tr w:rsidR="00296D01" w14:paraId="4B6D1A5B" w14:textId="77777777" w:rsidTr="009C1E9A">
      <w:trPr>
        <w:cantSplit/>
      </w:trPr>
      <w:tc>
        <w:tcPr>
          <w:tcW w:w="0" w:type="pct"/>
        </w:tcPr>
        <w:p w14:paraId="14C1C21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83FA885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D30F10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99C47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6D01" w14:paraId="1A43162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398F545" w14:textId="7E5C9BB6" w:rsidR="00EC379B" w:rsidRDefault="003E67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91A6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E06143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AB6375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92AB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02A44" w14:textId="77777777" w:rsidR="00000000" w:rsidRDefault="003E671A">
      <w:r>
        <w:separator/>
      </w:r>
    </w:p>
  </w:footnote>
  <w:footnote w:type="continuationSeparator" w:id="0">
    <w:p w14:paraId="42BC28B1" w14:textId="77777777" w:rsidR="00000000" w:rsidRDefault="003E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3B3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E16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EF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638F"/>
    <w:multiLevelType w:val="hybridMultilevel"/>
    <w:tmpl w:val="869A267E"/>
    <w:lvl w:ilvl="0" w:tplc="02F6D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2A3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27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4D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40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0C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E6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EA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52E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F1521"/>
    <w:multiLevelType w:val="hybridMultilevel"/>
    <w:tmpl w:val="8A2ACEEC"/>
    <w:lvl w:ilvl="0" w:tplc="D5360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AE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429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4B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A5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21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45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49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2E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9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8CB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71A"/>
    <w:rsid w:val="000A4893"/>
    <w:rsid w:val="000A54E0"/>
    <w:rsid w:val="000A72C4"/>
    <w:rsid w:val="000B1486"/>
    <w:rsid w:val="000B3E61"/>
    <w:rsid w:val="000B54AF"/>
    <w:rsid w:val="000B6090"/>
    <w:rsid w:val="000B6FEE"/>
    <w:rsid w:val="000B790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47AA1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D01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71A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089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1A68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BB6"/>
    <w:rsid w:val="005F4095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3AC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97CFE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3BD2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7D0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D17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09ED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D41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5100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731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2DE23C-7E0D-4802-A79E-08681842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38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3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2094</Characters>
  <Application>Microsoft Office Word</Application>
  <DocSecurity>4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23869</dc:subject>
  <dc:creator>State of Texas</dc:creator>
  <dc:description>HB 2357 by Reynolds-(H)Criminal Jurisprudence</dc:description>
  <cp:lastModifiedBy>Stacey Nicchio</cp:lastModifiedBy>
  <cp:revision>2</cp:revision>
  <cp:lastPrinted>2003-11-26T17:21:00Z</cp:lastPrinted>
  <dcterms:created xsi:type="dcterms:W3CDTF">2021-05-05T20:03:00Z</dcterms:created>
  <dcterms:modified xsi:type="dcterms:W3CDTF">2021-05-05T20:03:00Z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21.122.583</vt:lpwstr>
  </property>
</Properties>
</file>