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13B3" w14:paraId="5E1D4936" w14:textId="77777777" w:rsidTr="00345119">
        <w:tc>
          <w:tcPr>
            <w:tcW w:w="9576" w:type="dxa"/>
            <w:noWrap/>
          </w:tcPr>
          <w:p w14:paraId="7E74B3A9" w14:textId="77777777" w:rsidR="008423E4" w:rsidRPr="0022177D" w:rsidRDefault="00C74FE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48E8F56" w14:textId="77777777" w:rsidR="008423E4" w:rsidRPr="0022177D" w:rsidRDefault="008423E4" w:rsidP="008423E4">
      <w:pPr>
        <w:jc w:val="center"/>
      </w:pPr>
    </w:p>
    <w:p w14:paraId="0C1D8D3E" w14:textId="77777777" w:rsidR="008423E4" w:rsidRPr="00B31F0E" w:rsidRDefault="008423E4" w:rsidP="008423E4"/>
    <w:p w14:paraId="64C0436F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13B3" w14:paraId="640365B9" w14:textId="77777777" w:rsidTr="00345119">
        <w:tc>
          <w:tcPr>
            <w:tcW w:w="9576" w:type="dxa"/>
          </w:tcPr>
          <w:p w14:paraId="3EE7F734" w14:textId="216CA9DB" w:rsidR="008423E4" w:rsidRPr="00861995" w:rsidRDefault="00C74FE7" w:rsidP="00345119">
            <w:pPr>
              <w:jc w:val="right"/>
            </w:pPr>
            <w:r>
              <w:t>C.S.H.B. 2371</w:t>
            </w:r>
          </w:p>
        </w:tc>
      </w:tr>
      <w:tr w:rsidR="007A13B3" w14:paraId="63ADDCF3" w14:textId="77777777" w:rsidTr="00345119">
        <w:tc>
          <w:tcPr>
            <w:tcW w:w="9576" w:type="dxa"/>
          </w:tcPr>
          <w:p w14:paraId="71625042" w14:textId="262AC65F" w:rsidR="008423E4" w:rsidRPr="00861995" w:rsidRDefault="00C74FE7" w:rsidP="00363C99">
            <w:pPr>
              <w:jc w:val="right"/>
            </w:pPr>
            <w:r>
              <w:t xml:space="preserve">By: </w:t>
            </w:r>
            <w:r w:rsidR="00363C99">
              <w:t>Morales Shaw</w:t>
            </w:r>
          </w:p>
        </w:tc>
      </w:tr>
      <w:tr w:rsidR="007A13B3" w14:paraId="11BFE0C2" w14:textId="77777777" w:rsidTr="00345119">
        <w:tc>
          <w:tcPr>
            <w:tcW w:w="9576" w:type="dxa"/>
          </w:tcPr>
          <w:p w14:paraId="2002428D" w14:textId="302B9B93" w:rsidR="008423E4" w:rsidRPr="00861995" w:rsidRDefault="00C74FE7" w:rsidP="00345119">
            <w:pPr>
              <w:jc w:val="right"/>
            </w:pPr>
            <w:r>
              <w:t>Urban Affairs</w:t>
            </w:r>
          </w:p>
        </w:tc>
      </w:tr>
      <w:tr w:rsidR="007A13B3" w14:paraId="67DEAE11" w14:textId="77777777" w:rsidTr="00345119">
        <w:tc>
          <w:tcPr>
            <w:tcW w:w="9576" w:type="dxa"/>
          </w:tcPr>
          <w:p w14:paraId="091E3B89" w14:textId="5C4BB163" w:rsidR="008423E4" w:rsidRDefault="00C74FE7" w:rsidP="00345119">
            <w:pPr>
              <w:jc w:val="right"/>
            </w:pPr>
            <w:r>
              <w:t>Committee Report (Substituted)</w:t>
            </w:r>
          </w:p>
        </w:tc>
      </w:tr>
    </w:tbl>
    <w:p w14:paraId="64C89DF6" w14:textId="77777777" w:rsidR="008423E4" w:rsidRDefault="008423E4" w:rsidP="008423E4">
      <w:pPr>
        <w:tabs>
          <w:tab w:val="right" w:pos="9360"/>
        </w:tabs>
      </w:pPr>
    </w:p>
    <w:p w14:paraId="7F60D3C2" w14:textId="77777777" w:rsidR="008423E4" w:rsidRDefault="008423E4" w:rsidP="008423E4"/>
    <w:p w14:paraId="40A8C12C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13B3" w14:paraId="52C29D1A" w14:textId="77777777" w:rsidTr="00345119">
        <w:tc>
          <w:tcPr>
            <w:tcW w:w="9576" w:type="dxa"/>
          </w:tcPr>
          <w:p w14:paraId="25078D07" w14:textId="77777777" w:rsidR="008423E4" w:rsidRPr="00A8133F" w:rsidRDefault="00C74FE7" w:rsidP="00B3451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BA096E" w14:textId="77777777" w:rsidR="008423E4" w:rsidRPr="00745C81" w:rsidRDefault="008423E4" w:rsidP="00B3451F">
            <w:pPr>
              <w:rPr>
                <w:sz w:val="22"/>
                <w:szCs w:val="22"/>
              </w:rPr>
            </w:pPr>
          </w:p>
          <w:p w14:paraId="3DC73644" w14:textId="542F7481" w:rsidR="004B282D" w:rsidRDefault="00C74FE7" w:rsidP="00B3451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Local</w:t>
            </w:r>
            <w:r w:rsidRPr="004B282D">
              <w:t xml:space="preserve"> concerns</w:t>
            </w:r>
            <w:r>
              <w:t xml:space="preserve"> have been raised</w:t>
            </w:r>
            <w:r w:rsidRPr="004B282D">
              <w:t xml:space="preserve"> that applicants for </w:t>
            </w:r>
            <w:r>
              <w:t>low income</w:t>
            </w:r>
            <w:r w:rsidRPr="004B282D">
              <w:t xml:space="preserve"> housing tax credits are not required to provide notification of a proposed development to neighborhood </w:t>
            </w:r>
            <w:r>
              <w:t>organizations</w:t>
            </w:r>
            <w:r w:rsidRPr="004B282D">
              <w:t xml:space="preserve"> whose boundaries are adjacent to the proposed</w:t>
            </w:r>
            <w:r>
              <w:t xml:space="preserve"> development</w:t>
            </w:r>
            <w:r w:rsidRPr="004B282D">
              <w:t xml:space="preserve"> site</w:t>
            </w:r>
            <w:r>
              <w:t xml:space="preserve"> like an a</w:t>
            </w:r>
            <w:r w:rsidRPr="004B282D">
              <w:t xml:space="preserve">pplicant </w:t>
            </w:r>
            <w:r>
              <w:t>is</w:t>
            </w:r>
            <w:r w:rsidRPr="004B282D">
              <w:t xml:space="preserve"> required to </w:t>
            </w:r>
            <w:r>
              <w:t xml:space="preserve">do for an </w:t>
            </w:r>
            <w:r w:rsidRPr="004B282D">
              <w:t xml:space="preserve">organization </w:t>
            </w:r>
            <w:r>
              <w:t>whose boundaries co</w:t>
            </w:r>
            <w:r>
              <w:t xml:space="preserve">ntain </w:t>
            </w:r>
            <w:r w:rsidRPr="004B282D">
              <w:t>the site.</w:t>
            </w:r>
            <w:r w:rsidR="001137D5">
              <w:t xml:space="preserve"> </w:t>
            </w:r>
            <w:r w:rsidRPr="004B282D">
              <w:t>This</w:t>
            </w:r>
            <w:r w:rsidR="001137D5">
              <w:t xml:space="preserve"> lack of notification</w:t>
            </w:r>
            <w:r w:rsidRPr="004B282D">
              <w:t xml:space="preserve"> may limit opportunity for individuals to provide input on the application.</w:t>
            </w:r>
            <w:r w:rsidR="001137D5">
              <w:t xml:space="preserve"> C.S.</w:t>
            </w:r>
            <w:r w:rsidRPr="004B282D">
              <w:t>H</w:t>
            </w:r>
            <w:r w:rsidR="001137D5">
              <w:t>.</w:t>
            </w:r>
            <w:r w:rsidRPr="004B282D">
              <w:t>B</w:t>
            </w:r>
            <w:r w:rsidR="001137D5">
              <w:t>.</w:t>
            </w:r>
            <w:r w:rsidRPr="004B282D">
              <w:t xml:space="preserve"> 2371</w:t>
            </w:r>
            <w:r w:rsidR="001137D5">
              <w:t xml:space="preserve"> seeks to address these concerns by expanding the </w:t>
            </w:r>
            <w:r w:rsidR="00017E35">
              <w:t xml:space="preserve">type of </w:t>
            </w:r>
            <w:r w:rsidR="001137D5">
              <w:t xml:space="preserve">neighborhood organizations to which certain notification </w:t>
            </w:r>
            <w:r w:rsidR="00037263">
              <w:t xml:space="preserve">must be provided with respect to applications for </w:t>
            </w:r>
            <w:r w:rsidR="00017E35">
              <w:t>certain</w:t>
            </w:r>
            <w:r w:rsidR="00037263">
              <w:t xml:space="preserve"> financial assistance</w:t>
            </w:r>
            <w:r w:rsidR="00017E35">
              <w:t xml:space="preserve"> administered by the Texas Department of Housing and Community Affairs</w:t>
            </w:r>
            <w:r w:rsidR="001137D5">
              <w:t>.</w:t>
            </w:r>
          </w:p>
          <w:p w14:paraId="43A958DB" w14:textId="77777777" w:rsidR="008423E4" w:rsidRPr="00E26B13" w:rsidRDefault="008423E4" w:rsidP="00B3451F">
            <w:pPr>
              <w:rPr>
                <w:b/>
              </w:rPr>
            </w:pPr>
          </w:p>
        </w:tc>
      </w:tr>
      <w:tr w:rsidR="007A13B3" w14:paraId="1F522E4C" w14:textId="77777777" w:rsidTr="00345119">
        <w:tc>
          <w:tcPr>
            <w:tcW w:w="9576" w:type="dxa"/>
          </w:tcPr>
          <w:p w14:paraId="0F11DC98" w14:textId="77777777" w:rsidR="0017725B" w:rsidRDefault="00C74FE7" w:rsidP="00B34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486725" w14:textId="77777777" w:rsidR="0017725B" w:rsidRPr="00745C81" w:rsidRDefault="0017725B" w:rsidP="00B3451F">
            <w:pPr>
              <w:rPr>
                <w:b/>
                <w:sz w:val="22"/>
                <w:szCs w:val="22"/>
                <w:u w:val="single"/>
              </w:rPr>
            </w:pPr>
          </w:p>
          <w:p w14:paraId="63A9CB8F" w14:textId="77777777" w:rsidR="00B049FA" w:rsidRPr="00B049FA" w:rsidRDefault="00C74FE7" w:rsidP="00B3451F">
            <w:pPr>
              <w:jc w:val="both"/>
            </w:pPr>
            <w:r>
              <w:t>It is the committee's opinion that this bill does not expressly create a criminal offense,</w:t>
            </w:r>
            <w:r>
              <w:t xml:space="preserve"> increase the punishment for an existing criminal offense or category of offenses, or change the eligibility of a person for community supervision, parole, or mandatory supervision.</w:t>
            </w:r>
          </w:p>
          <w:p w14:paraId="03F313FB" w14:textId="77777777" w:rsidR="0017725B" w:rsidRPr="0017725B" w:rsidRDefault="0017725B" w:rsidP="00B3451F">
            <w:pPr>
              <w:rPr>
                <w:b/>
                <w:u w:val="single"/>
              </w:rPr>
            </w:pPr>
          </w:p>
        </w:tc>
      </w:tr>
      <w:tr w:rsidR="007A13B3" w14:paraId="2148ED29" w14:textId="77777777" w:rsidTr="00345119">
        <w:tc>
          <w:tcPr>
            <w:tcW w:w="9576" w:type="dxa"/>
          </w:tcPr>
          <w:p w14:paraId="2EC6D03C" w14:textId="77777777" w:rsidR="008423E4" w:rsidRPr="00A8133F" w:rsidRDefault="00C74FE7" w:rsidP="00B3451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C2F513C" w14:textId="77777777" w:rsidR="008423E4" w:rsidRPr="00745C81" w:rsidRDefault="008423E4" w:rsidP="00B3451F">
            <w:pPr>
              <w:rPr>
                <w:sz w:val="22"/>
                <w:szCs w:val="22"/>
              </w:rPr>
            </w:pPr>
          </w:p>
          <w:p w14:paraId="5E4C308E" w14:textId="77777777" w:rsidR="00B049FA" w:rsidRDefault="00C74FE7" w:rsidP="00B3451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</w:t>
            </w:r>
            <w:r>
              <w:t xml:space="preserve"> not expressly grant any additional rulemaking authority to a state officer, department, agency, or institution.</w:t>
            </w:r>
          </w:p>
          <w:p w14:paraId="2BEF958C" w14:textId="77777777" w:rsidR="008423E4" w:rsidRPr="00E21FDC" w:rsidRDefault="008423E4" w:rsidP="00B3451F">
            <w:pPr>
              <w:rPr>
                <w:b/>
              </w:rPr>
            </w:pPr>
          </w:p>
        </w:tc>
      </w:tr>
      <w:tr w:rsidR="007A13B3" w14:paraId="77771475" w14:textId="77777777" w:rsidTr="00345119">
        <w:tc>
          <w:tcPr>
            <w:tcW w:w="9576" w:type="dxa"/>
          </w:tcPr>
          <w:p w14:paraId="05BEF472" w14:textId="77777777" w:rsidR="008423E4" w:rsidRPr="00A8133F" w:rsidRDefault="00C74FE7" w:rsidP="00B3451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B475E3" w14:textId="36B4FABA" w:rsidR="008423E4" w:rsidRPr="00745C81" w:rsidRDefault="008423E4" w:rsidP="00B3451F">
            <w:pPr>
              <w:rPr>
                <w:sz w:val="22"/>
                <w:szCs w:val="22"/>
              </w:rPr>
            </w:pPr>
          </w:p>
          <w:p w14:paraId="755A93D6" w14:textId="0A5FAD3B" w:rsidR="009D75F6" w:rsidRDefault="00C74FE7" w:rsidP="00B3451F">
            <w:pPr>
              <w:jc w:val="both"/>
            </w:pPr>
            <w:r>
              <w:t>C.S.H.B. 2371</w:t>
            </w:r>
            <w:r w:rsidR="00CA2692">
              <w:t xml:space="preserve"> amends the Government Code </w:t>
            </w:r>
            <w:r w:rsidR="009829D7">
              <w:t xml:space="preserve">to </w:t>
            </w:r>
            <w:r w:rsidR="00C60225">
              <w:t xml:space="preserve">expand </w:t>
            </w:r>
            <w:r w:rsidR="002B5A6C">
              <w:t xml:space="preserve">the </w:t>
            </w:r>
            <w:r w:rsidR="00017E35">
              <w:t>type</w:t>
            </w:r>
            <w:r w:rsidR="002B5A6C">
              <w:t xml:space="preserve"> of</w:t>
            </w:r>
            <w:r w:rsidR="004E33DE">
              <w:t xml:space="preserve"> neighborhood organizations</w:t>
            </w:r>
            <w:r w:rsidR="00175522">
              <w:t xml:space="preserve"> </w:t>
            </w:r>
            <w:r w:rsidR="00983B3F">
              <w:t xml:space="preserve">with respect </w:t>
            </w:r>
            <w:r w:rsidR="004E33DE">
              <w:t>to which the following requirements apply</w:t>
            </w:r>
            <w:r w:rsidR="009F1166">
              <w:t xml:space="preserve"> </w:t>
            </w:r>
            <w:r w:rsidR="000C7D06">
              <w:t>by</w:t>
            </w:r>
            <w:r w:rsidR="00AD22B9">
              <w:t xml:space="preserve"> includ</w:t>
            </w:r>
            <w:r w:rsidR="000C7D06">
              <w:t>ing</w:t>
            </w:r>
            <w:r w:rsidR="00AD22B9">
              <w:t xml:space="preserve"> a</w:t>
            </w:r>
            <w:r w:rsidR="000C7D06">
              <w:t>ny</w:t>
            </w:r>
            <w:r w:rsidR="00AD22B9" w:rsidRPr="00AD22B9">
              <w:t xml:space="preserve"> neighborhood organization</w:t>
            </w:r>
            <w:r w:rsidR="000C7D06">
              <w:t xml:space="preserve"> on record with the state or county in which the applicable development is to be located</w:t>
            </w:r>
            <w:r w:rsidR="00AD22B9" w:rsidRPr="00AD22B9">
              <w:t xml:space="preserve"> that has boundaries immediately contiguous to or a</w:t>
            </w:r>
            <w:r w:rsidR="00AD22B9">
              <w:t xml:space="preserve">cross the street from </w:t>
            </w:r>
            <w:r w:rsidR="00AD22B9" w:rsidRPr="00AD22B9">
              <w:t>the proposed development site</w:t>
            </w:r>
            <w:r>
              <w:t>:</w:t>
            </w:r>
          </w:p>
          <w:p w14:paraId="24161F0E" w14:textId="024D912E" w:rsidR="009D75F6" w:rsidRDefault="00C74FE7" w:rsidP="00B3451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</w:t>
            </w:r>
            <w:r>
              <w:t xml:space="preserve"> requirement for the </w:t>
            </w:r>
            <w:r w:rsidRPr="009D75F6">
              <w:t>Texas Department of Housing and Community Affairs (TDHCA)</w:t>
            </w:r>
            <w:r>
              <w:t xml:space="preserve"> to provide written notice of the filing of an application or proposed application for housing funds to </w:t>
            </w:r>
            <w:r w:rsidR="00532DA6">
              <w:t>certain neighborhood</w:t>
            </w:r>
            <w:r>
              <w:t xml:space="preserve"> organization</w:t>
            </w:r>
            <w:r w:rsidR="00532DA6">
              <w:t>s</w:t>
            </w:r>
            <w:r w:rsidR="004156ED">
              <w:t xml:space="preserve"> by a certain deadline</w:t>
            </w:r>
            <w:r>
              <w:t>;</w:t>
            </w:r>
          </w:p>
          <w:p w14:paraId="19C2846D" w14:textId="1993ECB0" w:rsidR="009D75F6" w:rsidRDefault="00C74FE7" w:rsidP="00B3451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the requirement </w:t>
            </w:r>
            <w:r>
              <w:t xml:space="preserve">for the </w:t>
            </w:r>
            <w:r w:rsidRPr="009D75F6">
              <w:t>low income housing tax credit program</w:t>
            </w:r>
            <w:r>
              <w:t xml:space="preserve"> preapplication process</w:t>
            </w:r>
            <w:r w:rsidR="00470816">
              <w:t xml:space="preserve"> to</w:t>
            </w:r>
            <w:r>
              <w:t xml:space="preserve"> </w:t>
            </w:r>
            <w:r w:rsidR="00470816" w:rsidRPr="00470816">
              <w:t xml:space="preserve">require </w:t>
            </w:r>
            <w:r w:rsidR="005E014E">
              <w:t>an</w:t>
            </w:r>
            <w:r w:rsidR="00470816" w:rsidRPr="00470816">
              <w:t xml:space="preserve"> applicant to provide </w:t>
            </w:r>
            <w:r w:rsidR="00470816">
              <w:t>t</w:t>
            </w:r>
            <w:r w:rsidR="00470816" w:rsidRPr="00470816">
              <w:t xml:space="preserve">he </w:t>
            </w:r>
            <w:r w:rsidR="00470816">
              <w:t>TDHCA</w:t>
            </w:r>
            <w:r w:rsidR="00470816" w:rsidRPr="00470816">
              <w:t xml:space="preserve"> with evidence tha</w:t>
            </w:r>
            <w:r w:rsidR="00591AA6">
              <w:t xml:space="preserve">t the applicant has notified </w:t>
            </w:r>
            <w:r w:rsidR="00532DA6">
              <w:t xml:space="preserve">such an </w:t>
            </w:r>
            <w:r w:rsidR="00470816">
              <w:t>organization</w:t>
            </w:r>
            <w:r w:rsidR="00470816" w:rsidRPr="00470816">
              <w:t xml:space="preserve"> with respect to the filing of </w:t>
            </w:r>
            <w:r w:rsidR="00591AA6">
              <w:t>an</w:t>
            </w:r>
            <w:r w:rsidR="00470816" w:rsidRPr="00470816">
              <w:t xml:space="preserve"> application</w:t>
            </w:r>
            <w:r w:rsidR="00470816">
              <w:t>;</w:t>
            </w:r>
            <w:r w:rsidR="007A2EFC">
              <w:t xml:space="preserve"> and</w:t>
            </w:r>
          </w:p>
          <w:p w14:paraId="609BF721" w14:textId="5AEBCF69" w:rsidR="00470816" w:rsidRDefault="00C74FE7" w:rsidP="00B3451F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the requirement for a low</w:t>
            </w:r>
            <w:r>
              <w:t xml:space="preserve"> income housing tax credit program application to contain </w:t>
            </w:r>
            <w:r w:rsidRPr="00470816">
              <w:t>evidence that the applicant has notified</w:t>
            </w:r>
            <w:r w:rsidR="00591AA6">
              <w:t xml:space="preserve"> </w:t>
            </w:r>
            <w:r w:rsidR="00532DA6">
              <w:t xml:space="preserve">such </w:t>
            </w:r>
            <w:r w:rsidR="00591AA6">
              <w:t>an</w:t>
            </w:r>
            <w:r>
              <w:t xml:space="preserve"> organization </w:t>
            </w:r>
            <w:r w:rsidRPr="00470816">
              <w:t>with respect to the filing of the application</w:t>
            </w:r>
            <w:r w:rsidR="007A2EFC">
              <w:t>.</w:t>
            </w:r>
          </w:p>
          <w:p w14:paraId="1677ECCF" w14:textId="634058C7" w:rsidR="008756AE" w:rsidRPr="00745C81" w:rsidRDefault="008756AE" w:rsidP="00B3451F">
            <w:pPr>
              <w:ind w:left="360"/>
              <w:jc w:val="both"/>
            </w:pPr>
          </w:p>
          <w:p w14:paraId="6B1B28FB" w14:textId="22D19872" w:rsidR="008423E4" w:rsidRDefault="00C74FE7" w:rsidP="00B3451F">
            <w:pPr>
              <w:jc w:val="both"/>
            </w:pPr>
            <w:r>
              <w:t xml:space="preserve">C.S.H.B. 2371 </w:t>
            </w:r>
            <w:r w:rsidR="00B049FA">
              <w:t>appl</w:t>
            </w:r>
            <w:r w:rsidR="00591AA6">
              <w:t>ies</w:t>
            </w:r>
            <w:r w:rsidR="00B049FA">
              <w:t xml:space="preserve"> only to an application </w:t>
            </w:r>
            <w:r w:rsidR="00B049FA" w:rsidRPr="00B049FA">
              <w:t xml:space="preserve">for low income housing tax credits that is submitted to the </w:t>
            </w:r>
            <w:r w:rsidR="00B049FA">
              <w:t>TDHCA</w:t>
            </w:r>
            <w:r w:rsidR="00B049FA" w:rsidRPr="00B049FA">
              <w:t xml:space="preserve"> during an application cycle that is based on the 202</w:t>
            </w:r>
            <w:r>
              <w:t>2</w:t>
            </w:r>
            <w:r w:rsidR="00B049FA" w:rsidRPr="00B049FA">
              <w:t xml:space="preserve"> qualified allocation plan or a subsequent plan adopted by the </w:t>
            </w:r>
            <w:r w:rsidR="001D036F">
              <w:t>TDHCA</w:t>
            </w:r>
            <w:r w:rsidR="001D036F" w:rsidRPr="00B049FA">
              <w:t xml:space="preserve"> </w:t>
            </w:r>
            <w:r w:rsidR="00B049FA" w:rsidRPr="00B049FA">
              <w:t>governing board</w:t>
            </w:r>
            <w:r w:rsidR="00B049FA">
              <w:t xml:space="preserve">.  </w:t>
            </w:r>
          </w:p>
          <w:p w14:paraId="0C0002C6" w14:textId="77777777" w:rsidR="008423E4" w:rsidRPr="00745C81" w:rsidRDefault="008423E4" w:rsidP="00B3451F">
            <w:pPr>
              <w:rPr>
                <w:b/>
              </w:rPr>
            </w:pPr>
          </w:p>
        </w:tc>
      </w:tr>
      <w:tr w:rsidR="007A13B3" w14:paraId="6F999A75" w14:textId="77777777" w:rsidTr="00345119">
        <w:tc>
          <w:tcPr>
            <w:tcW w:w="9576" w:type="dxa"/>
          </w:tcPr>
          <w:p w14:paraId="2E58C4FD" w14:textId="77777777" w:rsidR="008423E4" w:rsidRPr="00A8133F" w:rsidRDefault="00C74FE7" w:rsidP="00B3451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E89FAC0" w14:textId="77777777" w:rsidR="008423E4" w:rsidRDefault="008423E4" w:rsidP="00B3451F"/>
          <w:p w14:paraId="7F515E3F" w14:textId="6E03ECCB" w:rsidR="008423E4" w:rsidRPr="00745C81" w:rsidRDefault="00C74FE7" w:rsidP="00745C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</w:t>
            </w:r>
            <w:r w:rsidR="007A2EFC">
              <w:t>21</w:t>
            </w:r>
            <w:r>
              <w:t>.</w:t>
            </w:r>
          </w:p>
        </w:tc>
      </w:tr>
      <w:tr w:rsidR="007A13B3" w14:paraId="53FD4805" w14:textId="77777777" w:rsidTr="00345119">
        <w:tc>
          <w:tcPr>
            <w:tcW w:w="9576" w:type="dxa"/>
          </w:tcPr>
          <w:p w14:paraId="76E235D2" w14:textId="77777777" w:rsidR="00363C99" w:rsidRDefault="00C74FE7" w:rsidP="00B3451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CD73740" w14:textId="77777777" w:rsidR="007020D6" w:rsidRDefault="007020D6" w:rsidP="00B3451F">
            <w:pPr>
              <w:jc w:val="both"/>
            </w:pPr>
          </w:p>
          <w:p w14:paraId="654B25CA" w14:textId="3736347A" w:rsidR="007020D6" w:rsidRDefault="00C74FE7" w:rsidP="00B3451F">
            <w:pPr>
              <w:jc w:val="both"/>
            </w:pPr>
            <w:r>
              <w:t>While C.S.H.B.</w:t>
            </w:r>
            <w:r>
              <w:t xml:space="preserve"> 2371 may differ from the original in minor or nonsubstantive ways, the following summarizes the substantial differences between the introduced and committee substitute versions of the bill.</w:t>
            </w:r>
          </w:p>
          <w:p w14:paraId="35880CC1" w14:textId="6C42F887" w:rsidR="007020D6" w:rsidRDefault="007020D6" w:rsidP="00B3451F">
            <w:pPr>
              <w:jc w:val="both"/>
            </w:pPr>
          </w:p>
          <w:p w14:paraId="60455531" w14:textId="39CF2BBD" w:rsidR="007020D6" w:rsidRDefault="00C74FE7" w:rsidP="00B3451F">
            <w:pPr>
              <w:jc w:val="both"/>
            </w:pPr>
            <w:r>
              <w:t xml:space="preserve">While the substitute and original both </w:t>
            </w:r>
            <w:r w:rsidR="00254535">
              <w:t>expand the</w:t>
            </w:r>
            <w:r>
              <w:t xml:space="preserve"> type of</w:t>
            </w:r>
            <w:r w:rsidR="00254535" w:rsidRPr="00254535">
              <w:t xml:space="preserve"> neighborhood organizations</w:t>
            </w:r>
            <w:r>
              <w:t xml:space="preserve"> with respect to which the notification requirements apply, the substitute</w:t>
            </w:r>
            <w:r w:rsidR="00254535">
              <w:t xml:space="preserve"> include</w:t>
            </w:r>
            <w:r w:rsidR="000560AC">
              <w:t>s</w:t>
            </w:r>
            <w:r w:rsidR="00254535">
              <w:t xml:space="preserve"> </w:t>
            </w:r>
            <w:r>
              <w:t xml:space="preserve">a neighborhood organization that </w:t>
            </w:r>
            <w:r w:rsidRPr="007020D6">
              <w:t xml:space="preserve">has boundaries immediately contiguous to or across the street from </w:t>
            </w:r>
            <w:r>
              <w:t xml:space="preserve">the proposed development site, whereas the original </w:t>
            </w:r>
            <w:r>
              <w:t xml:space="preserve">included a neighborhood organization that </w:t>
            </w:r>
            <w:r w:rsidRPr="007020D6">
              <w:t>has a boundary located not more than one mile from the proposed site</w:t>
            </w:r>
            <w:r>
              <w:t>.</w:t>
            </w:r>
          </w:p>
          <w:p w14:paraId="5CDA61C6" w14:textId="6582587F" w:rsidR="00097B89" w:rsidRDefault="00097B89" w:rsidP="00B3451F">
            <w:pPr>
              <w:jc w:val="both"/>
            </w:pPr>
          </w:p>
          <w:p w14:paraId="5489ECDB" w14:textId="7C8BB448" w:rsidR="00097B89" w:rsidRDefault="00C74FE7" w:rsidP="00B3451F">
            <w:pPr>
              <w:jc w:val="both"/>
            </w:pPr>
            <w:r>
              <w:t xml:space="preserve">The substitute does not include </w:t>
            </w:r>
            <w:r w:rsidR="008856C6">
              <w:t xml:space="preserve">changes that appeared </w:t>
            </w:r>
            <w:r>
              <w:t xml:space="preserve">in the original </w:t>
            </w:r>
            <w:r w:rsidR="008856C6">
              <w:t>to</w:t>
            </w:r>
            <w:r>
              <w:t xml:space="preserve"> </w:t>
            </w:r>
            <w:r w:rsidR="008856C6">
              <w:t xml:space="preserve">the </w:t>
            </w:r>
            <w:r>
              <w:t xml:space="preserve">requirement </w:t>
            </w:r>
            <w:r w:rsidRPr="00097B89">
              <w:t>that the TDHCA score and rank a</w:t>
            </w:r>
            <w:r w:rsidR="00254535">
              <w:t>n</w:t>
            </w:r>
            <w:r w:rsidRPr="00097B89">
              <w:t xml:space="preserve"> application using cri</w:t>
            </w:r>
            <w:r w:rsidRPr="00097B89">
              <w:t xml:space="preserve">teria regarding, in part, quantifiable community participation with respect to the development that is evaluated on the basis of written statements from </w:t>
            </w:r>
            <w:r w:rsidR="008856C6">
              <w:t>certain neighborhood</w:t>
            </w:r>
            <w:r w:rsidRPr="00097B89">
              <w:t xml:space="preserve"> organization</w:t>
            </w:r>
            <w:r w:rsidR="008856C6">
              <w:t>s</w:t>
            </w:r>
            <w:r w:rsidRPr="00097B89">
              <w:t>.</w:t>
            </w:r>
          </w:p>
          <w:p w14:paraId="1936523A" w14:textId="7C812A84" w:rsidR="007020D6" w:rsidRPr="007020D6" w:rsidRDefault="007020D6" w:rsidP="00B3451F">
            <w:pPr>
              <w:jc w:val="both"/>
            </w:pPr>
          </w:p>
        </w:tc>
      </w:tr>
      <w:tr w:rsidR="007A13B3" w14:paraId="115CF2DD" w14:textId="77777777" w:rsidTr="00345119">
        <w:tc>
          <w:tcPr>
            <w:tcW w:w="9576" w:type="dxa"/>
          </w:tcPr>
          <w:p w14:paraId="6FB86DE6" w14:textId="77777777" w:rsidR="00363C99" w:rsidRPr="009C1E9A" w:rsidRDefault="00363C99" w:rsidP="00B3451F">
            <w:pPr>
              <w:rPr>
                <w:b/>
                <w:u w:val="single"/>
              </w:rPr>
            </w:pPr>
          </w:p>
        </w:tc>
      </w:tr>
      <w:tr w:rsidR="007A13B3" w14:paraId="38B5C543" w14:textId="77777777" w:rsidTr="00345119">
        <w:tc>
          <w:tcPr>
            <w:tcW w:w="9576" w:type="dxa"/>
          </w:tcPr>
          <w:p w14:paraId="73E87AA3" w14:textId="77777777" w:rsidR="00363C99" w:rsidRPr="00363C99" w:rsidRDefault="00363C99" w:rsidP="00B3451F">
            <w:pPr>
              <w:jc w:val="both"/>
            </w:pPr>
          </w:p>
        </w:tc>
      </w:tr>
    </w:tbl>
    <w:p w14:paraId="72C77934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6981C616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1F7A" w14:textId="77777777" w:rsidR="00000000" w:rsidRDefault="00C74FE7">
      <w:r>
        <w:separator/>
      </w:r>
    </w:p>
  </w:endnote>
  <w:endnote w:type="continuationSeparator" w:id="0">
    <w:p w14:paraId="26F66ED2" w14:textId="77777777" w:rsidR="00000000" w:rsidRDefault="00C7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E98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13B3" w14:paraId="262A350B" w14:textId="77777777" w:rsidTr="009C1E9A">
      <w:trPr>
        <w:cantSplit/>
      </w:trPr>
      <w:tc>
        <w:tcPr>
          <w:tcW w:w="0" w:type="pct"/>
        </w:tcPr>
        <w:p w14:paraId="35539E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E2E5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95348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0D96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14098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13B3" w14:paraId="668584D6" w14:textId="77777777" w:rsidTr="009C1E9A">
      <w:trPr>
        <w:cantSplit/>
      </w:trPr>
      <w:tc>
        <w:tcPr>
          <w:tcW w:w="0" w:type="pct"/>
        </w:tcPr>
        <w:p w14:paraId="3C41AC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8BBF23" w14:textId="47E40FE8" w:rsidR="00EC379B" w:rsidRPr="009C1E9A" w:rsidRDefault="00C74FE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22353</w:t>
          </w:r>
        </w:p>
      </w:tc>
      <w:tc>
        <w:tcPr>
          <w:tcW w:w="2453" w:type="pct"/>
        </w:tcPr>
        <w:p w14:paraId="12306AFF" w14:textId="4849857E" w:rsidR="00EC379B" w:rsidRDefault="00C74F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00166">
            <w:t>21.116.397</w:t>
          </w:r>
          <w:r>
            <w:fldChar w:fldCharType="end"/>
          </w:r>
        </w:p>
      </w:tc>
    </w:tr>
    <w:tr w:rsidR="007A13B3" w14:paraId="6ECE96FA" w14:textId="77777777" w:rsidTr="009C1E9A">
      <w:trPr>
        <w:cantSplit/>
      </w:trPr>
      <w:tc>
        <w:tcPr>
          <w:tcW w:w="0" w:type="pct"/>
        </w:tcPr>
        <w:p w14:paraId="2B45FB8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CF5890" w14:textId="02B927F0" w:rsidR="00EC379B" w:rsidRPr="009C1E9A" w:rsidRDefault="00C74F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19479</w:t>
          </w:r>
        </w:p>
      </w:tc>
      <w:tc>
        <w:tcPr>
          <w:tcW w:w="2453" w:type="pct"/>
        </w:tcPr>
        <w:p w14:paraId="4B8563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36DD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13B3" w14:paraId="7C0453D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82DA0D" w14:textId="6698128C" w:rsidR="00EC379B" w:rsidRDefault="00C74FE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45C8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F3E7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1055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04F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9693" w14:textId="77777777" w:rsidR="00000000" w:rsidRDefault="00C74FE7">
      <w:r>
        <w:separator/>
      </w:r>
    </w:p>
  </w:footnote>
  <w:footnote w:type="continuationSeparator" w:id="0">
    <w:p w14:paraId="37722B89" w14:textId="77777777" w:rsidR="00000000" w:rsidRDefault="00C7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94DF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182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D47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7F4"/>
    <w:multiLevelType w:val="hybridMultilevel"/>
    <w:tmpl w:val="7DEA0D88"/>
    <w:lvl w:ilvl="0" w:tplc="B3F09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45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C7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86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0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25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60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2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DEC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487D"/>
    <w:multiLevelType w:val="hybridMultilevel"/>
    <w:tmpl w:val="3B661ECA"/>
    <w:lvl w:ilvl="0" w:tplc="15B2A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62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83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00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2A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8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27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E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01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92"/>
    <w:rsid w:val="0000016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E35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263"/>
    <w:rsid w:val="000400D5"/>
    <w:rsid w:val="00043B84"/>
    <w:rsid w:val="0004512B"/>
    <w:rsid w:val="000455A3"/>
    <w:rsid w:val="000463F0"/>
    <w:rsid w:val="00046BDA"/>
    <w:rsid w:val="0004762E"/>
    <w:rsid w:val="000532BD"/>
    <w:rsid w:val="00055C12"/>
    <w:rsid w:val="000560AC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B89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06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7D5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522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36F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26F8A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535"/>
    <w:rsid w:val="00255EB6"/>
    <w:rsid w:val="00257429"/>
    <w:rsid w:val="00257562"/>
    <w:rsid w:val="002602AF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76D"/>
    <w:rsid w:val="002A48DF"/>
    <w:rsid w:val="002A5A84"/>
    <w:rsid w:val="002A6E6F"/>
    <w:rsid w:val="002A74E4"/>
    <w:rsid w:val="002A7CFE"/>
    <w:rsid w:val="002B26DD"/>
    <w:rsid w:val="002B2870"/>
    <w:rsid w:val="002B391B"/>
    <w:rsid w:val="002B5A6C"/>
    <w:rsid w:val="002B5B42"/>
    <w:rsid w:val="002B7BA7"/>
    <w:rsid w:val="002C1C17"/>
    <w:rsid w:val="002C3203"/>
    <w:rsid w:val="002C3B07"/>
    <w:rsid w:val="002C415B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7C9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51B8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3C99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692"/>
    <w:rsid w:val="003E6CB0"/>
    <w:rsid w:val="003F1F5E"/>
    <w:rsid w:val="003F286A"/>
    <w:rsid w:val="003F77F8"/>
    <w:rsid w:val="00400ACD"/>
    <w:rsid w:val="00401B8A"/>
    <w:rsid w:val="004023F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6ED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B7D"/>
    <w:rsid w:val="00451D7C"/>
    <w:rsid w:val="00452FC3"/>
    <w:rsid w:val="00455936"/>
    <w:rsid w:val="00455ACE"/>
    <w:rsid w:val="00460C54"/>
    <w:rsid w:val="00461B69"/>
    <w:rsid w:val="00462B3D"/>
    <w:rsid w:val="00470816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282D"/>
    <w:rsid w:val="004B412A"/>
    <w:rsid w:val="004B576C"/>
    <w:rsid w:val="004B772A"/>
    <w:rsid w:val="004C1C8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3DE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DA6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527D"/>
    <w:rsid w:val="005666D5"/>
    <w:rsid w:val="005669A7"/>
    <w:rsid w:val="00573401"/>
    <w:rsid w:val="00576714"/>
    <w:rsid w:val="0057685A"/>
    <w:rsid w:val="005847EF"/>
    <w:rsid w:val="005851E6"/>
    <w:rsid w:val="005878B7"/>
    <w:rsid w:val="00591AA6"/>
    <w:rsid w:val="00592C9A"/>
    <w:rsid w:val="00593DF8"/>
    <w:rsid w:val="00595745"/>
    <w:rsid w:val="005A0E18"/>
    <w:rsid w:val="005A12A5"/>
    <w:rsid w:val="005A3790"/>
    <w:rsid w:val="005A3CCB"/>
    <w:rsid w:val="005A50A4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14E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582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3A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0D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C89"/>
    <w:rsid w:val="00742794"/>
    <w:rsid w:val="00743C4C"/>
    <w:rsid w:val="007445B7"/>
    <w:rsid w:val="00744920"/>
    <w:rsid w:val="00745C81"/>
    <w:rsid w:val="007509BE"/>
    <w:rsid w:val="00752828"/>
    <w:rsid w:val="0075287B"/>
    <w:rsid w:val="007532B0"/>
    <w:rsid w:val="00755C7B"/>
    <w:rsid w:val="00764786"/>
    <w:rsid w:val="00766E12"/>
    <w:rsid w:val="0077098E"/>
    <w:rsid w:val="00771287"/>
    <w:rsid w:val="0077149E"/>
    <w:rsid w:val="00772F77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3B3"/>
    <w:rsid w:val="007A2EFC"/>
    <w:rsid w:val="007A331F"/>
    <w:rsid w:val="007A3844"/>
    <w:rsid w:val="007A4381"/>
    <w:rsid w:val="007A5466"/>
    <w:rsid w:val="007A7EC1"/>
    <w:rsid w:val="007B2666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17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6AE"/>
    <w:rsid w:val="0087680A"/>
    <w:rsid w:val="008806EB"/>
    <w:rsid w:val="008826F2"/>
    <w:rsid w:val="008845BA"/>
    <w:rsid w:val="00885203"/>
    <w:rsid w:val="008856C6"/>
    <w:rsid w:val="008859CA"/>
    <w:rsid w:val="008861EE"/>
    <w:rsid w:val="00890B59"/>
    <w:rsid w:val="008930D7"/>
    <w:rsid w:val="008947A7"/>
    <w:rsid w:val="008A04FA"/>
    <w:rsid w:val="008A3188"/>
    <w:rsid w:val="008A3FDF"/>
    <w:rsid w:val="008A4F9C"/>
    <w:rsid w:val="008A6418"/>
    <w:rsid w:val="008B05D8"/>
    <w:rsid w:val="008B0B3D"/>
    <w:rsid w:val="008B2B1A"/>
    <w:rsid w:val="008B3428"/>
    <w:rsid w:val="008B7785"/>
    <w:rsid w:val="008C0809"/>
    <w:rsid w:val="008C132C"/>
    <w:rsid w:val="008C2079"/>
    <w:rsid w:val="008C3FD0"/>
    <w:rsid w:val="008D27A5"/>
    <w:rsid w:val="008D2AAB"/>
    <w:rsid w:val="008D309C"/>
    <w:rsid w:val="008D58F9"/>
    <w:rsid w:val="008E3338"/>
    <w:rsid w:val="008E47BE"/>
    <w:rsid w:val="008E612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29D7"/>
    <w:rsid w:val="00983B3F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D75F6"/>
    <w:rsid w:val="009E13BF"/>
    <w:rsid w:val="009E3631"/>
    <w:rsid w:val="009E3EB9"/>
    <w:rsid w:val="009E69C2"/>
    <w:rsid w:val="009E70AF"/>
    <w:rsid w:val="009E7AEB"/>
    <w:rsid w:val="009F1166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2B9"/>
    <w:rsid w:val="00AD304B"/>
    <w:rsid w:val="00AD4497"/>
    <w:rsid w:val="00AD7780"/>
    <w:rsid w:val="00AE2263"/>
    <w:rsid w:val="00AE248E"/>
    <w:rsid w:val="00AE2D12"/>
    <w:rsid w:val="00AE2F06"/>
    <w:rsid w:val="00AE4F1C"/>
    <w:rsid w:val="00AE6462"/>
    <w:rsid w:val="00AF1433"/>
    <w:rsid w:val="00AF48B4"/>
    <w:rsid w:val="00AF4923"/>
    <w:rsid w:val="00AF7C74"/>
    <w:rsid w:val="00B000AF"/>
    <w:rsid w:val="00B049FA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51F"/>
    <w:rsid w:val="00B34F25"/>
    <w:rsid w:val="00B43672"/>
    <w:rsid w:val="00B43996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1A57"/>
    <w:rsid w:val="00BE3634"/>
    <w:rsid w:val="00BE3E30"/>
    <w:rsid w:val="00BE5274"/>
    <w:rsid w:val="00BE71CD"/>
    <w:rsid w:val="00BE7748"/>
    <w:rsid w:val="00BE7BDA"/>
    <w:rsid w:val="00BF0548"/>
    <w:rsid w:val="00BF25D0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225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4FE7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92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7A4"/>
    <w:rsid w:val="00D76631"/>
    <w:rsid w:val="00D768B7"/>
    <w:rsid w:val="00D77492"/>
    <w:rsid w:val="00D811E8"/>
    <w:rsid w:val="00D81A44"/>
    <w:rsid w:val="00D825DE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5C0A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4D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120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2BFC"/>
    <w:rsid w:val="00EF3B8F"/>
    <w:rsid w:val="00EF543E"/>
    <w:rsid w:val="00EF559F"/>
    <w:rsid w:val="00EF5AA2"/>
    <w:rsid w:val="00EF6AA1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3B1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1FB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3DFB"/>
    <w:rsid w:val="00F84153"/>
    <w:rsid w:val="00F85661"/>
    <w:rsid w:val="00F96602"/>
    <w:rsid w:val="00F9735A"/>
    <w:rsid w:val="00FA0C45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E55453-3D9E-4EFB-9A6E-E3C43EF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049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4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49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9FA"/>
    <w:rPr>
      <w:b/>
      <w:bCs/>
    </w:rPr>
  </w:style>
  <w:style w:type="paragraph" w:styleId="ListParagraph">
    <w:name w:val="List Paragraph"/>
    <w:basedOn w:val="Normal"/>
    <w:uiPriority w:val="34"/>
    <w:qFormat/>
    <w:rsid w:val="00CA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3126</Characters>
  <Application>Microsoft Office Word</Application>
  <DocSecurity>4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HB02371 (Committee Report (Substituted))</vt:lpstr>
    </vt:vector>
  </TitlesOfParts>
  <Company>State of Texas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22353</dc:subject>
  <dc:creator>State of Texas</dc:creator>
  <dc:description>HB 2371 by Morales Shaw-(H)Urban Affairs (Substitute Document Number: 87R 19479)</dc:description>
  <cp:lastModifiedBy>Stacey Nicchio</cp:lastModifiedBy>
  <cp:revision>2</cp:revision>
  <cp:lastPrinted>2003-11-26T17:21:00Z</cp:lastPrinted>
  <dcterms:created xsi:type="dcterms:W3CDTF">2021-05-03T20:30:00Z</dcterms:created>
  <dcterms:modified xsi:type="dcterms:W3CDTF">2021-05-03T20:30:00Z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21.116.397</vt:lpwstr>
  </property>
</Properties>
</file>