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3783A" w14:paraId="7389E640" w14:textId="77777777" w:rsidTr="00345119">
        <w:tc>
          <w:tcPr>
            <w:tcW w:w="9576" w:type="dxa"/>
            <w:noWrap/>
          </w:tcPr>
          <w:p w14:paraId="556735DB" w14:textId="77777777" w:rsidR="008423E4" w:rsidRPr="0022177D" w:rsidRDefault="0004163F" w:rsidP="003C153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C532156" w14:textId="77777777" w:rsidR="008423E4" w:rsidRPr="0022177D" w:rsidRDefault="008423E4" w:rsidP="003C1538">
      <w:pPr>
        <w:jc w:val="center"/>
      </w:pPr>
    </w:p>
    <w:p w14:paraId="6C328BEC" w14:textId="77777777" w:rsidR="008423E4" w:rsidRPr="00B31F0E" w:rsidRDefault="008423E4" w:rsidP="003C1538"/>
    <w:p w14:paraId="6A2ED8F7" w14:textId="77777777" w:rsidR="008423E4" w:rsidRPr="00742794" w:rsidRDefault="008423E4" w:rsidP="003C153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3783A" w14:paraId="003F08DA" w14:textId="77777777" w:rsidTr="00345119">
        <w:tc>
          <w:tcPr>
            <w:tcW w:w="9576" w:type="dxa"/>
          </w:tcPr>
          <w:p w14:paraId="22465BDE" w14:textId="210E24EA" w:rsidR="008423E4" w:rsidRPr="00861995" w:rsidRDefault="0004163F" w:rsidP="003C1538">
            <w:pPr>
              <w:jc w:val="right"/>
            </w:pPr>
            <w:r>
              <w:t>C.S.H.B. 2376</w:t>
            </w:r>
          </w:p>
        </w:tc>
      </w:tr>
      <w:tr w:rsidR="0013783A" w14:paraId="68C7487C" w14:textId="77777777" w:rsidTr="00345119">
        <w:tc>
          <w:tcPr>
            <w:tcW w:w="9576" w:type="dxa"/>
          </w:tcPr>
          <w:p w14:paraId="0D434553" w14:textId="09393A5E" w:rsidR="008423E4" w:rsidRPr="00861995" w:rsidRDefault="0004163F" w:rsidP="003C1538">
            <w:pPr>
              <w:jc w:val="right"/>
            </w:pPr>
            <w:r>
              <w:t xml:space="preserve">By: </w:t>
            </w:r>
            <w:r w:rsidR="006353D2">
              <w:t>Kuempel</w:t>
            </w:r>
          </w:p>
        </w:tc>
      </w:tr>
      <w:tr w:rsidR="0013783A" w14:paraId="3E41E478" w14:textId="77777777" w:rsidTr="00345119">
        <w:tc>
          <w:tcPr>
            <w:tcW w:w="9576" w:type="dxa"/>
          </w:tcPr>
          <w:p w14:paraId="4034A244" w14:textId="698B3C30" w:rsidR="008423E4" w:rsidRPr="00861995" w:rsidRDefault="0004163F" w:rsidP="003C1538">
            <w:pPr>
              <w:jc w:val="right"/>
            </w:pPr>
            <w:r>
              <w:t>Licensing &amp; Administrative Procedures</w:t>
            </w:r>
          </w:p>
        </w:tc>
      </w:tr>
      <w:tr w:rsidR="0013783A" w14:paraId="29BA331F" w14:textId="77777777" w:rsidTr="00345119">
        <w:tc>
          <w:tcPr>
            <w:tcW w:w="9576" w:type="dxa"/>
          </w:tcPr>
          <w:p w14:paraId="00E69A4D" w14:textId="4735256F" w:rsidR="008423E4" w:rsidRDefault="0004163F" w:rsidP="003C1538">
            <w:pPr>
              <w:jc w:val="right"/>
            </w:pPr>
            <w:r>
              <w:t>Committee Report (Substituted)</w:t>
            </w:r>
          </w:p>
        </w:tc>
      </w:tr>
    </w:tbl>
    <w:p w14:paraId="6747FA1C" w14:textId="77777777" w:rsidR="008423E4" w:rsidRDefault="008423E4" w:rsidP="003C1538">
      <w:pPr>
        <w:tabs>
          <w:tab w:val="right" w:pos="9360"/>
        </w:tabs>
      </w:pPr>
    </w:p>
    <w:p w14:paraId="4F53054F" w14:textId="77777777" w:rsidR="008423E4" w:rsidRDefault="008423E4" w:rsidP="003C1538"/>
    <w:p w14:paraId="3EFF96E5" w14:textId="77777777" w:rsidR="008423E4" w:rsidRDefault="008423E4" w:rsidP="003C153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3783A" w14:paraId="5F3989E1" w14:textId="77777777" w:rsidTr="00345119">
        <w:tc>
          <w:tcPr>
            <w:tcW w:w="9576" w:type="dxa"/>
          </w:tcPr>
          <w:p w14:paraId="6E4C97F2" w14:textId="77777777" w:rsidR="008423E4" w:rsidRPr="00A8133F" w:rsidRDefault="0004163F" w:rsidP="003C153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B6E0711" w14:textId="77777777" w:rsidR="008423E4" w:rsidRDefault="008423E4" w:rsidP="003C1538"/>
          <w:p w14:paraId="1711DD3D" w14:textId="2566AD44" w:rsidR="008423E4" w:rsidRDefault="0004163F" w:rsidP="003C1538">
            <w:pPr>
              <w:pStyle w:val="Header"/>
              <w:jc w:val="both"/>
            </w:pPr>
            <w:r>
              <w:t>It has been noted that there is statutory redundancy with regard to how a real estate inspector</w:t>
            </w:r>
            <w:r w:rsidR="00187F8F">
              <w:t>'</w:t>
            </w:r>
            <w:r>
              <w:t xml:space="preserve">s client can be indemnified in the event that the inspector conducts an inspection in a negligent manner. State law requires the Texas Real Estate Commission (TREC) to maintain </w:t>
            </w:r>
            <w:r w:rsidR="000E1F86">
              <w:t xml:space="preserve">the </w:t>
            </w:r>
            <w:r>
              <w:t>real estate inspection recovery fund to satisfy civil court judgments again</w:t>
            </w:r>
            <w:r>
              <w:t xml:space="preserve">st inspectors, while also requiring inspectors to maintain liability insurance. As a result of this redundancy in the law, the inspector recovery fund </w:t>
            </w:r>
            <w:r w:rsidR="000E1F86">
              <w:t xml:space="preserve">has </w:t>
            </w:r>
            <w:r>
              <w:t>remain</w:t>
            </w:r>
            <w:r w:rsidR="000E1F86">
              <w:t>ed</w:t>
            </w:r>
            <w:r>
              <w:t xml:space="preserve"> underutilized. </w:t>
            </w:r>
            <w:r w:rsidR="000E1F86">
              <w:t>It has been reported that t</w:t>
            </w:r>
            <w:r>
              <w:t>he TREC has only made eight payments from the fund</w:t>
            </w:r>
            <w:r>
              <w:t xml:space="preserve"> in the last 10 years and has not made a payment since 2018. Instead, liability insurance has become the primary source for consumer indemnification. C.S.H.B. 2376 seeks to repeal </w:t>
            </w:r>
            <w:r w:rsidR="000E1F86">
              <w:t xml:space="preserve">provisions relating to </w:t>
            </w:r>
            <w:r>
              <w:t>the fund and reallocate its funds to the general reve</w:t>
            </w:r>
            <w:r>
              <w:t>nue fund for use in other areas.</w:t>
            </w:r>
          </w:p>
          <w:p w14:paraId="23611A45" w14:textId="77777777" w:rsidR="008423E4" w:rsidRPr="00E26B13" w:rsidRDefault="008423E4" w:rsidP="003C1538">
            <w:pPr>
              <w:rPr>
                <w:b/>
              </w:rPr>
            </w:pPr>
          </w:p>
        </w:tc>
      </w:tr>
      <w:tr w:rsidR="0013783A" w14:paraId="059EDB0A" w14:textId="77777777" w:rsidTr="00345119">
        <w:tc>
          <w:tcPr>
            <w:tcW w:w="9576" w:type="dxa"/>
          </w:tcPr>
          <w:p w14:paraId="3D6B5B26" w14:textId="77777777" w:rsidR="0017725B" w:rsidRDefault="0004163F" w:rsidP="003C15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A94958C" w14:textId="77777777" w:rsidR="0017725B" w:rsidRDefault="0017725B" w:rsidP="003C1538">
            <w:pPr>
              <w:rPr>
                <w:b/>
                <w:u w:val="single"/>
              </w:rPr>
            </w:pPr>
          </w:p>
          <w:p w14:paraId="113A0669" w14:textId="77777777" w:rsidR="001022B8" w:rsidRPr="001022B8" w:rsidRDefault="0004163F" w:rsidP="003C153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</w:t>
            </w:r>
            <w:r>
              <w:t>ty of a person for community supervision, parole, or mandatory supervision.</w:t>
            </w:r>
          </w:p>
          <w:p w14:paraId="7A14A8DB" w14:textId="77777777" w:rsidR="0017725B" w:rsidRPr="0017725B" w:rsidRDefault="0017725B" w:rsidP="003C1538">
            <w:pPr>
              <w:rPr>
                <w:b/>
                <w:u w:val="single"/>
              </w:rPr>
            </w:pPr>
          </w:p>
        </w:tc>
      </w:tr>
      <w:tr w:rsidR="0013783A" w14:paraId="0DAB33F2" w14:textId="77777777" w:rsidTr="00345119">
        <w:tc>
          <w:tcPr>
            <w:tcW w:w="9576" w:type="dxa"/>
          </w:tcPr>
          <w:p w14:paraId="3A45BD50" w14:textId="77777777" w:rsidR="008423E4" w:rsidRPr="00A8133F" w:rsidRDefault="0004163F" w:rsidP="003C153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07C861F" w14:textId="77777777" w:rsidR="008423E4" w:rsidRDefault="008423E4" w:rsidP="003C1538"/>
          <w:p w14:paraId="643227DB" w14:textId="77777777" w:rsidR="001022B8" w:rsidRDefault="0004163F" w:rsidP="003C15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</w:t>
            </w:r>
            <w:r>
              <w:t>ution.</w:t>
            </w:r>
          </w:p>
          <w:p w14:paraId="732FD92B" w14:textId="77777777" w:rsidR="008423E4" w:rsidRPr="00E21FDC" w:rsidRDefault="008423E4" w:rsidP="003C1538">
            <w:pPr>
              <w:rPr>
                <w:b/>
              </w:rPr>
            </w:pPr>
          </w:p>
        </w:tc>
      </w:tr>
      <w:tr w:rsidR="0013783A" w14:paraId="2FB6F409" w14:textId="77777777" w:rsidTr="00345119">
        <w:tc>
          <w:tcPr>
            <w:tcW w:w="9576" w:type="dxa"/>
          </w:tcPr>
          <w:p w14:paraId="7BF47EFC" w14:textId="77777777" w:rsidR="008423E4" w:rsidRPr="00A8133F" w:rsidRDefault="0004163F" w:rsidP="003C153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DB892F7" w14:textId="77777777" w:rsidR="008423E4" w:rsidRDefault="008423E4" w:rsidP="003C1538"/>
          <w:p w14:paraId="5CEAECAA" w14:textId="16362478" w:rsidR="009C36CD" w:rsidRDefault="0004163F" w:rsidP="003C1538">
            <w:pPr>
              <w:pStyle w:val="Header"/>
              <w:jc w:val="both"/>
            </w:pPr>
            <w:r>
              <w:t>C.S.</w:t>
            </w:r>
            <w:r w:rsidR="00EF6EEB">
              <w:t>H.B. 2376 repeals</w:t>
            </w:r>
            <w:r w:rsidR="00542DE4">
              <w:t xml:space="preserve"> Occupations Code</w:t>
            </w:r>
            <w:r w:rsidR="00EF6EEB">
              <w:t xml:space="preserve"> provisions establishing the real estate inspection recovery fund and amends the Occupations Code to redirect the deposit of administrative penalties collected </w:t>
            </w:r>
            <w:r w:rsidR="007B46AD">
              <w:t>for</w:t>
            </w:r>
            <w:r w:rsidR="00EF6EEB">
              <w:t xml:space="preserve"> real estate inspector</w:t>
            </w:r>
            <w:r w:rsidR="007B46AD">
              <w:t xml:space="preserve"> violations</w:t>
            </w:r>
            <w:r w:rsidR="00EF6EEB">
              <w:t xml:space="preserve"> to the general revenue fund for purposes of offsetting any amount </w:t>
            </w:r>
            <w:r>
              <w:t>required to be remitted to the general revenue fund by</w:t>
            </w:r>
            <w:r w:rsidR="00EF6EEB">
              <w:t xml:space="preserve"> the Texas Real Estate Commission (TREC).</w:t>
            </w:r>
            <w:r w:rsidR="004954E2">
              <w:t xml:space="preserve"> The bill requires a claim for payment </w:t>
            </w:r>
            <w:r w:rsidR="004954E2" w:rsidRPr="004954E2">
              <w:t xml:space="preserve">from the recovery fund for a cause of action that accrues before </w:t>
            </w:r>
            <w:r w:rsidR="00A75578">
              <w:t>the bill's effective date</w:t>
            </w:r>
            <w:r w:rsidR="004954E2" w:rsidRPr="004954E2">
              <w:t xml:space="preserve"> </w:t>
            </w:r>
            <w:r w:rsidR="004954E2">
              <w:t>to</w:t>
            </w:r>
            <w:r w:rsidR="004954E2" w:rsidRPr="004954E2">
              <w:t xml:space="preserve"> be filed before March 1, 2024.</w:t>
            </w:r>
          </w:p>
          <w:p w14:paraId="3B8614FE" w14:textId="77777777" w:rsidR="00EF6EEB" w:rsidRDefault="00EF6EEB" w:rsidP="003C15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1E028F2" w14:textId="408404F4" w:rsidR="001022B8" w:rsidRDefault="0004163F" w:rsidP="003C1538">
            <w:pPr>
              <w:pStyle w:val="Header"/>
              <w:jc w:val="both"/>
            </w:pPr>
            <w:r>
              <w:t>C.S.</w:t>
            </w:r>
            <w:r w:rsidR="00EF6EEB">
              <w:t xml:space="preserve">H.B. 2376 requires the TREC to </w:t>
            </w:r>
            <w:r>
              <w:t>take the following actions:</w:t>
            </w:r>
          </w:p>
          <w:p w14:paraId="2F8F8922" w14:textId="3621BF06" w:rsidR="001022B8" w:rsidRDefault="0004163F" w:rsidP="003C1538">
            <w:pPr>
              <w:pStyle w:val="Header"/>
              <w:numPr>
                <w:ilvl w:val="0"/>
                <w:numId w:val="1"/>
              </w:numPr>
              <w:jc w:val="both"/>
            </w:pPr>
            <w:r w:rsidRPr="00EF6EEB">
              <w:t>transfer not less than $300,000 from the real estate inspection recovery fund to the general revenue fund</w:t>
            </w:r>
            <w:r>
              <w:t xml:space="preserve"> not later than </w:t>
            </w:r>
            <w:r w:rsidR="00A75578">
              <w:t xml:space="preserve">December </w:t>
            </w:r>
            <w:r>
              <w:t>31, 2021;</w:t>
            </w:r>
          </w:p>
          <w:p w14:paraId="308CA030" w14:textId="55CEE6D2" w:rsidR="001022B8" w:rsidRDefault="0004163F" w:rsidP="003C1538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determine </w:t>
            </w:r>
            <w:r w:rsidRPr="00EF6EEB">
              <w:t>the remaining liability of the recovery fund based on any pending claim</w:t>
            </w:r>
            <w:r w:rsidR="007B46AD">
              <w:t>s</w:t>
            </w:r>
            <w:r w:rsidRPr="00EF6EEB">
              <w:t xml:space="preserve"> for payment</w:t>
            </w:r>
            <w:r>
              <w:t xml:space="preserve"> under that fund not later than August 31, 2024;</w:t>
            </w:r>
          </w:p>
          <w:p w14:paraId="1DEA2C2E" w14:textId="099A475A" w:rsidR="001022B8" w:rsidRDefault="0004163F" w:rsidP="003C1538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after determining that remaining liability, refund to each inspector licensed as a real estate </w:t>
            </w:r>
            <w:r>
              <w:t xml:space="preserve">inspector or professional inspector </w:t>
            </w:r>
            <w:r w:rsidR="00187F8F">
              <w:t xml:space="preserve">as </w:t>
            </w:r>
            <w:r>
              <w:t>of September 1, 2021, who still holds a license as of the date of the refund</w:t>
            </w:r>
            <w:r w:rsidR="00A75578">
              <w:t xml:space="preserve"> a portion of</w:t>
            </w:r>
            <w:r>
              <w:t xml:space="preserve"> </w:t>
            </w:r>
            <w:r w:rsidR="00A75578">
              <w:t xml:space="preserve">the </w:t>
            </w:r>
            <w:r>
              <w:t xml:space="preserve">amount in excess of the remaining liability, </w:t>
            </w:r>
            <w:r w:rsidR="00A75578">
              <w:t>capped at</w:t>
            </w:r>
            <w:r>
              <w:t xml:space="preserve"> $10</w:t>
            </w:r>
            <w:r w:rsidR="00A75578">
              <w:t xml:space="preserve"> per person</w:t>
            </w:r>
            <w:r>
              <w:t>;</w:t>
            </w:r>
            <w:r w:rsidR="0006208D">
              <w:t xml:space="preserve"> and</w:t>
            </w:r>
          </w:p>
          <w:p w14:paraId="3BAD92EA" w14:textId="495622CB" w:rsidR="001022B8" w:rsidRDefault="0004163F" w:rsidP="003C1538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after paying all claims for payment from the fun</w:t>
            </w:r>
            <w:r>
              <w:t>d and issuing refunds to the inspectors, transfer any remaining money to the general revenue fund.</w:t>
            </w:r>
          </w:p>
          <w:p w14:paraId="0CE9E950" w14:textId="336FB396" w:rsidR="00EF6EEB" w:rsidRDefault="0004163F" w:rsidP="003C15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Any money transferred to the general revenue fund offsets any amounts </w:t>
            </w:r>
            <w:r w:rsidR="00A75578">
              <w:t>required to be remitted to the general revenue fund by</w:t>
            </w:r>
            <w:r>
              <w:t xml:space="preserve"> the TREC</w:t>
            </w:r>
            <w:r w:rsidR="00A75578">
              <w:t>.</w:t>
            </w:r>
          </w:p>
          <w:p w14:paraId="04A84E6D" w14:textId="77777777" w:rsidR="001022B8" w:rsidRDefault="001022B8" w:rsidP="003C15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57CB8FE" w14:textId="77777777" w:rsidR="00117999" w:rsidRDefault="0004163F" w:rsidP="003C15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1022B8">
              <w:t xml:space="preserve">H.B. 2376 repeals </w:t>
            </w:r>
            <w:r w:rsidR="00A75578">
              <w:t xml:space="preserve">the following provisions </w:t>
            </w:r>
            <w:r>
              <w:t>of the Occupations Code:</w:t>
            </w:r>
          </w:p>
          <w:p w14:paraId="43A3E726" w14:textId="6EE5EF2C" w:rsidR="00117999" w:rsidRDefault="0004163F" w:rsidP="003C153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 1101.603(d); and</w:t>
            </w:r>
          </w:p>
          <w:p w14:paraId="47D54D17" w14:textId="188188C0" w:rsidR="001022B8" w:rsidRPr="009C36CD" w:rsidRDefault="0004163F" w:rsidP="003C153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Subchapter H, Chapter 1102.</w:t>
            </w:r>
          </w:p>
          <w:p w14:paraId="5CFB4C9C" w14:textId="77777777" w:rsidR="008423E4" w:rsidRPr="00835628" w:rsidRDefault="008423E4" w:rsidP="003C1538">
            <w:pPr>
              <w:rPr>
                <w:b/>
              </w:rPr>
            </w:pPr>
          </w:p>
        </w:tc>
      </w:tr>
      <w:tr w:rsidR="0013783A" w14:paraId="4C95B96B" w14:textId="77777777" w:rsidTr="00345119">
        <w:tc>
          <w:tcPr>
            <w:tcW w:w="9576" w:type="dxa"/>
          </w:tcPr>
          <w:p w14:paraId="18BCBE4F" w14:textId="77777777" w:rsidR="008423E4" w:rsidRPr="00A8133F" w:rsidRDefault="0004163F" w:rsidP="003C153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BDDA9A7" w14:textId="77777777" w:rsidR="008423E4" w:rsidRDefault="008423E4" w:rsidP="003C1538"/>
          <w:p w14:paraId="21C2340D" w14:textId="77777777" w:rsidR="008423E4" w:rsidRPr="003624F2" w:rsidRDefault="0004163F" w:rsidP="003C15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2539C08" w14:textId="77777777" w:rsidR="008423E4" w:rsidRPr="00233FDB" w:rsidRDefault="008423E4" w:rsidP="003C1538">
            <w:pPr>
              <w:rPr>
                <w:b/>
              </w:rPr>
            </w:pPr>
          </w:p>
        </w:tc>
      </w:tr>
      <w:tr w:rsidR="0013783A" w14:paraId="2E14005E" w14:textId="77777777" w:rsidTr="00345119">
        <w:tc>
          <w:tcPr>
            <w:tcW w:w="9576" w:type="dxa"/>
          </w:tcPr>
          <w:p w14:paraId="067E1FAC" w14:textId="77777777" w:rsidR="006353D2" w:rsidRDefault="0004163F" w:rsidP="003C153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5899B58" w14:textId="77777777" w:rsidR="00757E7E" w:rsidRPr="00594E34" w:rsidRDefault="00757E7E" w:rsidP="003C1538">
            <w:pPr>
              <w:jc w:val="both"/>
            </w:pPr>
          </w:p>
          <w:p w14:paraId="0129CBA9" w14:textId="1D8639CC" w:rsidR="00757E7E" w:rsidRDefault="0004163F" w:rsidP="003C1538">
            <w:pPr>
              <w:jc w:val="both"/>
            </w:pPr>
            <w:r>
              <w:t xml:space="preserve">While C.S.H.B. 2376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14:paraId="416401C7" w14:textId="613E30E3" w:rsidR="003C156D" w:rsidRDefault="003C156D" w:rsidP="003C1538">
            <w:pPr>
              <w:jc w:val="both"/>
            </w:pPr>
          </w:p>
          <w:p w14:paraId="781E0FD7" w14:textId="78C461FA" w:rsidR="003C156D" w:rsidRDefault="0004163F" w:rsidP="003C1538">
            <w:pPr>
              <w:jc w:val="both"/>
            </w:pPr>
            <w:r>
              <w:t>The substitute changes the deadline for the TREC to transfer not less than $300,000 from the real estate inspec</w:t>
            </w:r>
            <w:r>
              <w:t>tion recovery trust fund to the general revenue fund from August 31, 2021, to December 31, 2021.</w:t>
            </w:r>
          </w:p>
          <w:p w14:paraId="20EFA856" w14:textId="17A40C22" w:rsidR="00594E34" w:rsidRDefault="00594E34" w:rsidP="003C1538">
            <w:pPr>
              <w:jc w:val="both"/>
            </w:pPr>
          </w:p>
          <w:p w14:paraId="0B722EB9" w14:textId="4682D948" w:rsidR="00594E34" w:rsidRDefault="0004163F" w:rsidP="003C1538">
            <w:pPr>
              <w:jc w:val="both"/>
            </w:pPr>
            <w:r>
              <w:t>The substitute includes</w:t>
            </w:r>
            <w:r w:rsidR="00727E5F">
              <w:t xml:space="preserve"> additional</w:t>
            </w:r>
            <w:r>
              <w:t xml:space="preserve"> procedural provisions and makes other changes</w:t>
            </w:r>
            <w:r w:rsidR="000E720C">
              <w:t xml:space="preserve"> so as</w:t>
            </w:r>
            <w:r>
              <w:t xml:space="preserve"> to conform to certain bill drafting conventions. </w:t>
            </w:r>
          </w:p>
          <w:p w14:paraId="14C03DEA" w14:textId="64768F6B" w:rsidR="00757E7E" w:rsidRPr="00757E7E" w:rsidRDefault="00757E7E" w:rsidP="003C1538">
            <w:pPr>
              <w:jc w:val="both"/>
            </w:pPr>
          </w:p>
        </w:tc>
      </w:tr>
      <w:tr w:rsidR="0013783A" w14:paraId="454A2533" w14:textId="77777777" w:rsidTr="00345119">
        <w:tc>
          <w:tcPr>
            <w:tcW w:w="9576" w:type="dxa"/>
          </w:tcPr>
          <w:p w14:paraId="36932047" w14:textId="77777777" w:rsidR="006353D2" w:rsidRPr="009C1E9A" w:rsidRDefault="006353D2" w:rsidP="003C1538">
            <w:pPr>
              <w:rPr>
                <w:b/>
                <w:u w:val="single"/>
              </w:rPr>
            </w:pPr>
          </w:p>
        </w:tc>
      </w:tr>
      <w:tr w:rsidR="0013783A" w14:paraId="2B9856CF" w14:textId="77777777" w:rsidTr="00345119">
        <w:tc>
          <w:tcPr>
            <w:tcW w:w="9576" w:type="dxa"/>
          </w:tcPr>
          <w:p w14:paraId="7F9C55E6" w14:textId="77777777" w:rsidR="006353D2" w:rsidRPr="006353D2" w:rsidRDefault="006353D2" w:rsidP="003C1538">
            <w:pPr>
              <w:jc w:val="both"/>
            </w:pPr>
          </w:p>
        </w:tc>
      </w:tr>
    </w:tbl>
    <w:p w14:paraId="26F727E5" w14:textId="77777777" w:rsidR="008423E4" w:rsidRPr="00BE0E75" w:rsidRDefault="008423E4" w:rsidP="003C1538">
      <w:pPr>
        <w:jc w:val="both"/>
        <w:rPr>
          <w:rFonts w:ascii="Arial" w:hAnsi="Arial"/>
          <w:sz w:val="16"/>
          <w:szCs w:val="16"/>
        </w:rPr>
      </w:pPr>
    </w:p>
    <w:p w14:paraId="72C256DA" w14:textId="77777777" w:rsidR="004108C3" w:rsidRPr="008423E4" w:rsidRDefault="004108C3" w:rsidP="003C153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762FC" w14:textId="77777777" w:rsidR="00000000" w:rsidRDefault="0004163F">
      <w:r>
        <w:separator/>
      </w:r>
    </w:p>
  </w:endnote>
  <w:endnote w:type="continuationSeparator" w:id="0">
    <w:p w14:paraId="76EA8AE4" w14:textId="77777777" w:rsidR="00000000" w:rsidRDefault="0004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3D4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3783A" w14:paraId="04A7EA2A" w14:textId="77777777" w:rsidTr="009C1E9A">
      <w:trPr>
        <w:cantSplit/>
      </w:trPr>
      <w:tc>
        <w:tcPr>
          <w:tcW w:w="0" w:type="pct"/>
        </w:tcPr>
        <w:p w14:paraId="049E94F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2C5BD7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7017F9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F8911D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87DFEE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783A" w14:paraId="7D687E09" w14:textId="77777777" w:rsidTr="009C1E9A">
      <w:trPr>
        <w:cantSplit/>
      </w:trPr>
      <w:tc>
        <w:tcPr>
          <w:tcW w:w="0" w:type="pct"/>
        </w:tcPr>
        <w:p w14:paraId="38CEFA5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767A8F5" w14:textId="1D56D607" w:rsidR="00EC379B" w:rsidRPr="009C1E9A" w:rsidRDefault="0004163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17343</w:t>
          </w:r>
        </w:p>
      </w:tc>
      <w:tc>
        <w:tcPr>
          <w:tcW w:w="2453" w:type="pct"/>
        </w:tcPr>
        <w:p w14:paraId="5EC9C3C6" w14:textId="2B875D12" w:rsidR="00EC379B" w:rsidRDefault="000416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7412B">
            <w:t>21.87.99</w:t>
          </w:r>
          <w:r>
            <w:fldChar w:fldCharType="end"/>
          </w:r>
        </w:p>
      </w:tc>
    </w:tr>
    <w:tr w:rsidR="0013783A" w14:paraId="45F52E40" w14:textId="77777777" w:rsidTr="009C1E9A">
      <w:trPr>
        <w:cantSplit/>
      </w:trPr>
      <w:tc>
        <w:tcPr>
          <w:tcW w:w="0" w:type="pct"/>
        </w:tcPr>
        <w:p w14:paraId="2CB809D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B5D7C28" w14:textId="4CE240E9" w:rsidR="00EC379B" w:rsidRPr="009C1E9A" w:rsidRDefault="0004163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16876</w:t>
          </w:r>
        </w:p>
      </w:tc>
      <w:tc>
        <w:tcPr>
          <w:tcW w:w="2453" w:type="pct"/>
        </w:tcPr>
        <w:p w14:paraId="3C70CD3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E7DAA2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783A" w14:paraId="2DB862D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9FC1ACC" w14:textId="4636C4A9" w:rsidR="00EC379B" w:rsidRDefault="0004163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C153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079D043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5B595C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73A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89D18" w14:textId="77777777" w:rsidR="00000000" w:rsidRDefault="0004163F">
      <w:r>
        <w:separator/>
      </w:r>
    </w:p>
  </w:footnote>
  <w:footnote w:type="continuationSeparator" w:id="0">
    <w:p w14:paraId="3FE8CACB" w14:textId="77777777" w:rsidR="00000000" w:rsidRDefault="00041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7271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5856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02CA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78E5"/>
    <w:multiLevelType w:val="hybridMultilevel"/>
    <w:tmpl w:val="5A4457E8"/>
    <w:lvl w:ilvl="0" w:tplc="D97630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AE95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4E00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0A5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CC9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848C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96E1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EB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604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12B1"/>
    <w:multiLevelType w:val="hybridMultilevel"/>
    <w:tmpl w:val="57D26C36"/>
    <w:lvl w:ilvl="0" w:tplc="BAF01C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1722FC2" w:tentative="1">
      <w:start w:val="1"/>
      <w:numFmt w:val="lowerLetter"/>
      <w:lvlText w:val="%2."/>
      <w:lvlJc w:val="left"/>
      <w:pPr>
        <w:ind w:left="1440" w:hanging="360"/>
      </w:pPr>
    </w:lvl>
    <w:lvl w:ilvl="2" w:tplc="71229708" w:tentative="1">
      <w:start w:val="1"/>
      <w:numFmt w:val="lowerRoman"/>
      <w:lvlText w:val="%3."/>
      <w:lvlJc w:val="right"/>
      <w:pPr>
        <w:ind w:left="2160" w:hanging="180"/>
      </w:pPr>
    </w:lvl>
    <w:lvl w:ilvl="3" w:tplc="873EF7CA" w:tentative="1">
      <w:start w:val="1"/>
      <w:numFmt w:val="decimal"/>
      <w:lvlText w:val="%4."/>
      <w:lvlJc w:val="left"/>
      <w:pPr>
        <w:ind w:left="2880" w:hanging="360"/>
      </w:pPr>
    </w:lvl>
    <w:lvl w:ilvl="4" w:tplc="B436F52C" w:tentative="1">
      <w:start w:val="1"/>
      <w:numFmt w:val="lowerLetter"/>
      <w:lvlText w:val="%5."/>
      <w:lvlJc w:val="left"/>
      <w:pPr>
        <w:ind w:left="3600" w:hanging="360"/>
      </w:pPr>
    </w:lvl>
    <w:lvl w:ilvl="5" w:tplc="5782B014" w:tentative="1">
      <w:start w:val="1"/>
      <w:numFmt w:val="lowerRoman"/>
      <w:lvlText w:val="%6."/>
      <w:lvlJc w:val="right"/>
      <w:pPr>
        <w:ind w:left="4320" w:hanging="180"/>
      </w:pPr>
    </w:lvl>
    <w:lvl w:ilvl="6" w:tplc="A50ADEEE" w:tentative="1">
      <w:start w:val="1"/>
      <w:numFmt w:val="decimal"/>
      <w:lvlText w:val="%7."/>
      <w:lvlJc w:val="left"/>
      <w:pPr>
        <w:ind w:left="5040" w:hanging="360"/>
      </w:pPr>
    </w:lvl>
    <w:lvl w:ilvl="7" w:tplc="E7149BAC" w:tentative="1">
      <w:start w:val="1"/>
      <w:numFmt w:val="lowerLetter"/>
      <w:lvlText w:val="%8."/>
      <w:lvlJc w:val="left"/>
      <w:pPr>
        <w:ind w:left="5760" w:hanging="360"/>
      </w:pPr>
    </w:lvl>
    <w:lvl w:ilvl="8" w:tplc="867E0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D2CE2"/>
    <w:multiLevelType w:val="hybridMultilevel"/>
    <w:tmpl w:val="2CDA1724"/>
    <w:lvl w:ilvl="0" w:tplc="1CDC9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E480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78FB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E5B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D8F7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B0F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AE7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CE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8A2D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E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163F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208D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1F86"/>
    <w:rsid w:val="000E20F1"/>
    <w:rsid w:val="000E5B20"/>
    <w:rsid w:val="000E720C"/>
    <w:rsid w:val="000E7C14"/>
    <w:rsid w:val="000F094C"/>
    <w:rsid w:val="000F18A2"/>
    <w:rsid w:val="000F2A7F"/>
    <w:rsid w:val="000F3DBD"/>
    <w:rsid w:val="000F5843"/>
    <w:rsid w:val="000F6A06"/>
    <w:rsid w:val="0010154D"/>
    <w:rsid w:val="001022B8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7999"/>
    <w:rsid w:val="00120797"/>
    <w:rsid w:val="0012371B"/>
    <w:rsid w:val="001245C8"/>
    <w:rsid w:val="00124653"/>
    <w:rsid w:val="001247C5"/>
    <w:rsid w:val="00127893"/>
    <w:rsid w:val="001312BB"/>
    <w:rsid w:val="0013783A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167B"/>
    <w:rsid w:val="001824ED"/>
    <w:rsid w:val="00183262"/>
    <w:rsid w:val="00184B03"/>
    <w:rsid w:val="00185C59"/>
    <w:rsid w:val="00187C1B"/>
    <w:rsid w:val="00187F8F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688F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538"/>
    <w:rsid w:val="003C156D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54E2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408A"/>
    <w:rsid w:val="005269CE"/>
    <w:rsid w:val="005304B2"/>
    <w:rsid w:val="005336BD"/>
    <w:rsid w:val="00534A49"/>
    <w:rsid w:val="005363BB"/>
    <w:rsid w:val="00541B98"/>
    <w:rsid w:val="00542DE4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4E34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081A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53D2"/>
    <w:rsid w:val="006402E7"/>
    <w:rsid w:val="00640CB6"/>
    <w:rsid w:val="00641B42"/>
    <w:rsid w:val="00645750"/>
    <w:rsid w:val="00650692"/>
    <w:rsid w:val="006508D3"/>
    <w:rsid w:val="00650AFA"/>
    <w:rsid w:val="00657DE2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60AA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5F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2C"/>
    <w:rsid w:val="0075287B"/>
    <w:rsid w:val="00755C7B"/>
    <w:rsid w:val="00757E7E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6AD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277D"/>
    <w:rsid w:val="00946044"/>
    <w:rsid w:val="009465AB"/>
    <w:rsid w:val="00946DEE"/>
    <w:rsid w:val="00950B46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56DF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5578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6E3E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412B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E7FC6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6EEB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6A3A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E19A6F-1C4C-4BB2-BA63-D842E8D0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F6E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6E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6EE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6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6EEB"/>
    <w:rPr>
      <w:b/>
      <w:bCs/>
    </w:rPr>
  </w:style>
  <w:style w:type="paragraph" w:styleId="HTMLPreformatted">
    <w:name w:val="HTML Preformatted"/>
    <w:basedOn w:val="Normal"/>
    <w:link w:val="HTMLPreformattedChar"/>
    <w:semiHidden/>
    <w:unhideWhenUsed/>
    <w:rsid w:val="004954E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954E2"/>
    <w:rPr>
      <w:rFonts w:ascii="Consolas" w:hAnsi="Consolas"/>
    </w:rPr>
  </w:style>
  <w:style w:type="character" w:styleId="Hyperlink">
    <w:name w:val="Hyperlink"/>
    <w:basedOn w:val="DefaultParagraphFont"/>
    <w:unhideWhenUsed/>
    <w:rsid w:val="004954E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620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3174</Characters>
  <Application>Microsoft Office Word</Application>
  <DocSecurity>4</DocSecurity>
  <Lines>82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HB02376 (Committee Report (Substituted))</vt:lpstr>
    </vt:vector>
  </TitlesOfParts>
  <Company>State of Texas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17343</dc:subject>
  <dc:creator>State of Texas</dc:creator>
  <dc:description>HB 2376 by Kuempel-(H)Licensing &amp; Administrative Procedures (Substitute Document Number: 87R 16876)</dc:description>
  <cp:lastModifiedBy>Lauren Bustamente</cp:lastModifiedBy>
  <cp:revision>2</cp:revision>
  <cp:lastPrinted>2003-11-26T17:21:00Z</cp:lastPrinted>
  <dcterms:created xsi:type="dcterms:W3CDTF">2021-03-31T17:57:00Z</dcterms:created>
  <dcterms:modified xsi:type="dcterms:W3CDTF">2021-03-31T17:57:00Z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21.87.99</vt:lpwstr>
  </property>
</Properties>
</file>