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A1C7C" w14:paraId="57444AA3" w14:textId="77777777" w:rsidTr="00345119">
        <w:tc>
          <w:tcPr>
            <w:tcW w:w="9576" w:type="dxa"/>
            <w:noWrap/>
          </w:tcPr>
          <w:p w14:paraId="1034DE64" w14:textId="77777777" w:rsidR="008423E4" w:rsidRPr="0022177D" w:rsidRDefault="00F31450" w:rsidP="00552FC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1F044C6" w14:textId="77777777" w:rsidR="008423E4" w:rsidRPr="0022177D" w:rsidRDefault="008423E4" w:rsidP="00552FCA">
      <w:pPr>
        <w:jc w:val="center"/>
      </w:pPr>
    </w:p>
    <w:p w14:paraId="298B5FE9" w14:textId="77777777" w:rsidR="008423E4" w:rsidRPr="00B31F0E" w:rsidRDefault="008423E4" w:rsidP="00552FCA"/>
    <w:p w14:paraId="62EB2A69" w14:textId="77777777" w:rsidR="008423E4" w:rsidRPr="00742794" w:rsidRDefault="008423E4" w:rsidP="00552FC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A1C7C" w14:paraId="5321BBA8" w14:textId="77777777" w:rsidTr="00345119">
        <w:tc>
          <w:tcPr>
            <w:tcW w:w="9576" w:type="dxa"/>
          </w:tcPr>
          <w:p w14:paraId="72C6E3E5" w14:textId="7651F3D3" w:rsidR="008423E4" w:rsidRPr="00861995" w:rsidRDefault="00F31450" w:rsidP="00552FCA">
            <w:pPr>
              <w:jc w:val="right"/>
            </w:pPr>
            <w:r>
              <w:t>C.S.H.B. 2380</w:t>
            </w:r>
          </w:p>
        </w:tc>
      </w:tr>
      <w:tr w:rsidR="00CA1C7C" w14:paraId="4DE903A2" w14:textId="77777777" w:rsidTr="00345119">
        <w:tc>
          <w:tcPr>
            <w:tcW w:w="9576" w:type="dxa"/>
          </w:tcPr>
          <w:p w14:paraId="5028F26C" w14:textId="5819B63D" w:rsidR="008423E4" w:rsidRPr="00861995" w:rsidRDefault="00F31450" w:rsidP="00552FCA">
            <w:pPr>
              <w:jc w:val="right"/>
            </w:pPr>
            <w:r>
              <w:t xml:space="preserve">By: </w:t>
            </w:r>
            <w:r w:rsidR="002279C7">
              <w:t>Smith</w:t>
            </w:r>
          </w:p>
        </w:tc>
      </w:tr>
      <w:tr w:rsidR="00CA1C7C" w14:paraId="6A26D7A0" w14:textId="77777777" w:rsidTr="00345119">
        <w:tc>
          <w:tcPr>
            <w:tcW w:w="9576" w:type="dxa"/>
          </w:tcPr>
          <w:p w14:paraId="7F3D34FD" w14:textId="55B169FD" w:rsidR="008423E4" w:rsidRPr="00861995" w:rsidRDefault="00F31450" w:rsidP="00552FCA">
            <w:pPr>
              <w:jc w:val="right"/>
            </w:pPr>
            <w:r>
              <w:t>Public Health</w:t>
            </w:r>
          </w:p>
        </w:tc>
      </w:tr>
      <w:tr w:rsidR="00CA1C7C" w14:paraId="620F127F" w14:textId="77777777" w:rsidTr="00345119">
        <w:tc>
          <w:tcPr>
            <w:tcW w:w="9576" w:type="dxa"/>
          </w:tcPr>
          <w:p w14:paraId="6F2B0FEE" w14:textId="1020ADEF" w:rsidR="008423E4" w:rsidRDefault="00F31450" w:rsidP="00552FCA">
            <w:pPr>
              <w:jc w:val="right"/>
            </w:pPr>
            <w:r>
              <w:t>Committee Report (Substituted)</w:t>
            </w:r>
          </w:p>
        </w:tc>
      </w:tr>
    </w:tbl>
    <w:p w14:paraId="774587D9" w14:textId="77777777" w:rsidR="008423E4" w:rsidRDefault="008423E4" w:rsidP="00552FCA">
      <w:pPr>
        <w:tabs>
          <w:tab w:val="right" w:pos="9360"/>
        </w:tabs>
      </w:pPr>
    </w:p>
    <w:p w14:paraId="41797762" w14:textId="77777777" w:rsidR="008423E4" w:rsidRDefault="008423E4" w:rsidP="00552FCA"/>
    <w:p w14:paraId="6BE5C5A3" w14:textId="77777777" w:rsidR="008423E4" w:rsidRDefault="008423E4" w:rsidP="00552FC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A1C7C" w14:paraId="40209C87" w14:textId="77777777" w:rsidTr="00345119">
        <w:tc>
          <w:tcPr>
            <w:tcW w:w="9576" w:type="dxa"/>
          </w:tcPr>
          <w:p w14:paraId="68DBF2A7" w14:textId="7C63A832" w:rsidR="008423E4" w:rsidRDefault="00F31450" w:rsidP="00552FC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6386E04" w14:textId="77777777" w:rsidR="00214AB2" w:rsidRPr="00A8133F" w:rsidRDefault="00214AB2" w:rsidP="00552FCA">
            <w:pPr>
              <w:rPr>
                <w:b/>
              </w:rPr>
            </w:pPr>
          </w:p>
          <w:p w14:paraId="4682FF58" w14:textId="0F807AE4" w:rsidR="00F00B2C" w:rsidRDefault="00F31450" w:rsidP="00552FCA">
            <w:pPr>
              <w:jc w:val="both"/>
            </w:pPr>
            <w:r>
              <w:t>It has been reported that, d</w:t>
            </w:r>
            <w:r w:rsidR="00246438">
              <w:t>ue to the constr</w:t>
            </w:r>
            <w:r w:rsidR="008D3982">
              <w:t>aints of the COVID-19 pandemic,</w:t>
            </w:r>
            <w:r w:rsidRPr="0046195A">
              <w:t xml:space="preserve"> in-person appearance requirements</w:t>
            </w:r>
            <w:r w:rsidR="00246438">
              <w:t xml:space="preserve"> for informal proceedings relating to disciplinary </w:t>
            </w:r>
            <w:r>
              <w:t xml:space="preserve">actions and procedures for </w:t>
            </w:r>
            <w:r w:rsidR="00246438">
              <w:t>l</w:t>
            </w:r>
            <w:r w:rsidRPr="0046195A">
              <w:t>icense</w:t>
            </w:r>
            <w:r w:rsidR="00246438">
              <w:t>d physicians</w:t>
            </w:r>
            <w:r>
              <w:t xml:space="preserve"> created issues with delays in those proceedings. Although many license holders </w:t>
            </w:r>
            <w:r w:rsidRPr="0046195A">
              <w:t>were given the option to participate telephonically or virtually, many declined</w:t>
            </w:r>
            <w:r w:rsidRPr="0046195A">
              <w:t xml:space="preserve"> this option</w:t>
            </w:r>
            <w:r>
              <w:t xml:space="preserve">, </w:t>
            </w:r>
            <w:r w:rsidRPr="0046195A">
              <w:t>result</w:t>
            </w:r>
            <w:r>
              <w:t>ing</w:t>
            </w:r>
            <w:r w:rsidRPr="0046195A">
              <w:t xml:space="preserve"> in the postponement of approximately 175 cases. </w:t>
            </w:r>
            <w:r>
              <w:t xml:space="preserve">C.S.H.B. 2380 seeks to address this issue by providing for Texas Medical Board to hold certain informal proceedings by videoconference or teleconference.   </w:t>
            </w:r>
          </w:p>
          <w:p w14:paraId="4E2D6FA3" w14:textId="77777777" w:rsidR="008423E4" w:rsidRPr="00E26B13" w:rsidRDefault="008423E4" w:rsidP="00552FCA">
            <w:pPr>
              <w:rPr>
                <w:b/>
              </w:rPr>
            </w:pPr>
          </w:p>
        </w:tc>
      </w:tr>
      <w:tr w:rsidR="00CA1C7C" w14:paraId="455F7BE1" w14:textId="77777777" w:rsidTr="00345119">
        <w:tc>
          <w:tcPr>
            <w:tcW w:w="9576" w:type="dxa"/>
          </w:tcPr>
          <w:p w14:paraId="3E21B87E" w14:textId="77777777" w:rsidR="0017725B" w:rsidRDefault="00F31450" w:rsidP="00552FC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EAF7E42" w14:textId="77777777" w:rsidR="0017725B" w:rsidRDefault="0017725B" w:rsidP="00552FCA">
            <w:pPr>
              <w:rPr>
                <w:b/>
                <w:u w:val="single"/>
              </w:rPr>
            </w:pPr>
          </w:p>
          <w:p w14:paraId="1D8B8491" w14:textId="77777777" w:rsidR="00BE571D" w:rsidRPr="00BE571D" w:rsidRDefault="00F31450" w:rsidP="00552FC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mandato</w:t>
            </w:r>
            <w:r>
              <w:t>ry supervision.</w:t>
            </w:r>
          </w:p>
          <w:p w14:paraId="0C69794F" w14:textId="77777777" w:rsidR="0017725B" w:rsidRPr="0017725B" w:rsidRDefault="0017725B" w:rsidP="00552FCA">
            <w:pPr>
              <w:rPr>
                <w:b/>
                <w:u w:val="single"/>
              </w:rPr>
            </w:pPr>
          </w:p>
        </w:tc>
      </w:tr>
      <w:tr w:rsidR="00CA1C7C" w14:paraId="1272A7AD" w14:textId="77777777" w:rsidTr="00345119">
        <w:tc>
          <w:tcPr>
            <w:tcW w:w="9576" w:type="dxa"/>
          </w:tcPr>
          <w:p w14:paraId="7B2038B5" w14:textId="77777777" w:rsidR="008423E4" w:rsidRPr="00A8133F" w:rsidRDefault="00F31450" w:rsidP="00552FC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E2C6D05" w14:textId="77777777" w:rsidR="008423E4" w:rsidRDefault="008423E4" w:rsidP="00552FCA"/>
          <w:p w14:paraId="295F16A2" w14:textId="77777777" w:rsidR="00BE571D" w:rsidRDefault="00F31450" w:rsidP="00552F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FF41912" w14:textId="77777777" w:rsidR="008423E4" w:rsidRPr="00E21FDC" w:rsidRDefault="008423E4" w:rsidP="00552FCA">
            <w:pPr>
              <w:rPr>
                <w:b/>
              </w:rPr>
            </w:pPr>
          </w:p>
        </w:tc>
      </w:tr>
      <w:tr w:rsidR="00CA1C7C" w14:paraId="4F8971E0" w14:textId="77777777" w:rsidTr="00345119">
        <w:tc>
          <w:tcPr>
            <w:tcW w:w="9576" w:type="dxa"/>
          </w:tcPr>
          <w:p w14:paraId="53974D0C" w14:textId="77777777" w:rsidR="008423E4" w:rsidRPr="00A8133F" w:rsidRDefault="00F31450" w:rsidP="00552FC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E739DD9" w14:textId="77777777" w:rsidR="008423E4" w:rsidRDefault="008423E4" w:rsidP="00552FCA"/>
          <w:p w14:paraId="647B7B86" w14:textId="77777777" w:rsidR="00F05010" w:rsidRDefault="00F31450" w:rsidP="00552FCA">
            <w:pPr>
              <w:pStyle w:val="Header"/>
              <w:jc w:val="both"/>
            </w:pPr>
            <w:r>
              <w:t>C.S.</w:t>
            </w:r>
            <w:r w:rsidR="00AE4591" w:rsidRPr="00AE4591">
              <w:t>H.B. 2380</w:t>
            </w:r>
            <w:r w:rsidR="00AE4591">
              <w:t xml:space="preserve"> amends the </w:t>
            </w:r>
            <w:r w:rsidR="00AE4591" w:rsidRPr="00AE4591">
              <w:t>Occupations Code</w:t>
            </w:r>
            <w:r w:rsidR="00AE4591">
              <w:t xml:space="preserve"> to </w:t>
            </w:r>
            <w:r w:rsidR="00E95F26">
              <w:t xml:space="preserve">authorize </w:t>
            </w:r>
            <w:r w:rsidR="00AE4591" w:rsidRPr="00AE4591">
              <w:t>the Texas Medical Board</w:t>
            </w:r>
            <w:r w:rsidR="00E95F26">
              <w:t xml:space="preserve"> </w:t>
            </w:r>
            <w:r w:rsidR="00E95F26" w:rsidRPr="00E95F26">
              <w:t>(TMB)</w:t>
            </w:r>
            <w:r w:rsidR="00E95F26">
              <w:t xml:space="preserve"> </w:t>
            </w:r>
            <w:r w:rsidR="00AE4591">
              <w:t>to</w:t>
            </w:r>
            <w:r>
              <w:t xml:space="preserve"> do the following:</w:t>
            </w:r>
          </w:p>
          <w:p w14:paraId="703EC0E2" w14:textId="77777777" w:rsidR="00F05010" w:rsidRDefault="00F31450" w:rsidP="00552FCA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hold informal proceedings under </w:t>
            </w:r>
            <w:r w:rsidR="00E95F26">
              <w:t>statutory provisions relating to disciplinary actions and procedures</w:t>
            </w:r>
            <w:r>
              <w:t xml:space="preserve"> by videoconference or, if a respondent is unable to participate by videoconference, by</w:t>
            </w:r>
            <w:r>
              <w:t xml:space="preserve"> telephone conference call; and</w:t>
            </w:r>
          </w:p>
          <w:p w14:paraId="327A8BF3" w14:textId="4D6612A7" w:rsidR="00F05010" w:rsidRDefault="00F31450" w:rsidP="00552FC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authorize the TMB legal counsel, a</w:t>
            </w:r>
            <w:r w:rsidR="00D31DA2">
              <w:t xml:space="preserve"> TMB</w:t>
            </w:r>
            <w:r>
              <w:t xml:space="preserve"> </w:t>
            </w:r>
            <w:r w:rsidR="00E95F26">
              <w:t xml:space="preserve">staff </w:t>
            </w:r>
            <w:r>
              <w:t>member, or any other person authorized or required to participate in</w:t>
            </w:r>
            <w:r w:rsidR="00E95F26">
              <w:t xml:space="preserve"> </w:t>
            </w:r>
            <w:r w:rsidR="00C6342A">
              <w:t>the</w:t>
            </w:r>
            <w:r>
              <w:t xml:space="preserve"> informal proceedings to</w:t>
            </w:r>
            <w:r w:rsidR="00E95F26">
              <w:t xml:space="preserve"> participate by videoconference</w:t>
            </w:r>
            <w:r>
              <w:t xml:space="preserve">. </w:t>
            </w:r>
            <w:r w:rsidR="00E95F26">
              <w:t xml:space="preserve"> </w:t>
            </w:r>
          </w:p>
          <w:p w14:paraId="119FC8AE" w14:textId="77777777" w:rsidR="005F2278" w:rsidRDefault="005F2278" w:rsidP="00552FCA">
            <w:pPr>
              <w:pStyle w:val="Header"/>
              <w:jc w:val="both"/>
            </w:pPr>
          </w:p>
          <w:p w14:paraId="3DB1EF7D" w14:textId="55C214AB" w:rsidR="005F2278" w:rsidRDefault="00F31450" w:rsidP="00552FCA">
            <w:pPr>
              <w:pStyle w:val="Header"/>
              <w:jc w:val="both"/>
            </w:pPr>
            <w:r>
              <w:t>C.S.</w:t>
            </w:r>
            <w:r w:rsidRPr="00AE4591">
              <w:t>H.B. 2380</w:t>
            </w:r>
            <w:r>
              <w:t xml:space="preserve"> </w:t>
            </w:r>
            <w:r w:rsidR="00F05010">
              <w:t>r</w:t>
            </w:r>
            <w:r w:rsidR="00E95F26">
              <w:t xml:space="preserve">equires the TMB to </w:t>
            </w:r>
            <w:r w:rsidR="00AE4591">
              <w:t>adopt procedures for holding informal proceedings by videoconference that ensure that each participant is clearly visible and audible while that participant is speaking</w:t>
            </w:r>
            <w:r w:rsidR="00F05010">
              <w:t xml:space="preserve">. The bill </w:t>
            </w:r>
            <w:r w:rsidR="00BE571D">
              <w:t xml:space="preserve">authorizes a licensed physician </w:t>
            </w:r>
            <w:r w:rsidR="00D1437C">
              <w:t xml:space="preserve">to </w:t>
            </w:r>
            <w:r>
              <w:t>do the following by videoconference:</w:t>
            </w:r>
          </w:p>
          <w:p w14:paraId="68C10C0D" w14:textId="102A2F02" w:rsidR="00FB5972" w:rsidRDefault="00F31450" w:rsidP="00552FCA">
            <w:pPr>
              <w:pStyle w:val="Header"/>
              <w:numPr>
                <w:ilvl w:val="0"/>
                <w:numId w:val="2"/>
              </w:numPr>
              <w:jc w:val="both"/>
            </w:pPr>
            <w:r w:rsidRPr="00D1437C">
              <w:t>reply</w:t>
            </w:r>
            <w:r>
              <w:t xml:space="preserve"> </w:t>
            </w:r>
            <w:r w:rsidRPr="00D1437C">
              <w:t>to the</w:t>
            </w:r>
            <w:r>
              <w:t xml:space="preserve"> TMB</w:t>
            </w:r>
            <w:r w:rsidRPr="00D1437C">
              <w:t xml:space="preserve"> s</w:t>
            </w:r>
            <w:r w:rsidRPr="00D1437C">
              <w:t xml:space="preserve">taff's presentation </w:t>
            </w:r>
            <w:r w:rsidR="00F05010">
              <w:t>of the facts</w:t>
            </w:r>
            <w:r w:rsidR="00EA4D9A">
              <w:t>;</w:t>
            </w:r>
            <w:r w:rsidR="00F05010" w:rsidRPr="00D1437C">
              <w:t xml:space="preserve"> </w:t>
            </w:r>
            <w:r>
              <w:t>and</w:t>
            </w:r>
          </w:p>
          <w:p w14:paraId="5AAC6DCF" w14:textId="450113A8" w:rsidR="00EA4D9A" w:rsidRDefault="00F31450" w:rsidP="00552FCA">
            <w:pPr>
              <w:pStyle w:val="Header"/>
              <w:numPr>
                <w:ilvl w:val="0"/>
                <w:numId w:val="2"/>
              </w:numPr>
              <w:jc w:val="both"/>
            </w:pPr>
            <w:r w:rsidRPr="00D1437C">
              <w:t>present facts the physician reasonably believes the physician could</w:t>
            </w:r>
            <w:r w:rsidR="00F05010">
              <w:t xml:space="preserve"> </w:t>
            </w:r>
            <w:r w:rsidRPr="00D1437C">
              <w:t xml:space="preserve">prove </w:t>
            </w:r>
            <w:r w:rsidR="0040606E">
              <w:t xml:space="preserve">by competent evidence or qualified witnesses </w:t>
            </w:r>
            <w:r>
              <w:t>at a hearing.</w:t>
            </w:r>
            <w:r w:rsidR="004E0FB7">
              <w:t xml:space="preserve"> </w:t>
            </w:r>
          </w:p>
          <w:p w14:paraId="42598933" w14:textId="77777777" w:rsidR="00EA4D9A" w:rsidRDefault="00EA4D9A" w:rsidP="00552FCA">
            <w:pPr>
              <w:pStyle w:val="Header"/>
              <w:jc w:val="both"/>
            </w:pPr>
          </w:p>
          <w:p w14:paraId="750D5539" w14:textId="221BA89A" w:rsidR="00BE571D" w:rsidRPr="009C36CD" w:rsidRDefault="00F31450" w:rsidP="00552FCA">
            <w:pPr>
              <w:pStyle w:val="Header"/>
              <w:jc w:val="both"/>
            </w:pPr>
            <w:r>
              <w:t>C.S.</w:t>
            </w:r>
            <w:r w:rsidRPr="00AE4591">
              <w:t>H.B. 2380</w:t>
            </w:r>
            <w:r>
              <w:t xml:space="preserve"> </w:t>
            </w:r>
            <w:r w:rsidR="004E0FB7">
              <w:t xml:space="preserve">establishes </w:t>
            </w:r>
            <w:r w:rsidR="00DC6CB9">
              <w:t xml:space="preserve">that </w:t>
            </w:r>
            <w:r w:rsidR="005F2278">
              <w:t>a</w:t>
            </w:r>
            <w:r w:rsidR="00F05010" w:rsidRPr="00F05010">
              <w:t xml:space="preserve"> license</w:t>
            </w:r>
            <w:r>
              <w:t>d physician</w:t>
            </w:r>
            <w:r w:rsidR="00F05010" w:rsidRPr="00F05010">
              <w:t xml:space="preserve">'s appearance at an informal meeting by videoconference as provided by </w:t>
            </w:r>
            <w:r>
              <w:t>the bill's provisions</w:t>
            </w:r>
            <w:r w:rsidR="00F05010" w:rsidRPr="00F05010">
              <w:t xml:space="preserve"> constitutes personal appearance under</w:t>
            </w:r>
            <w:r w:rsidR="00FB5972">
              <w:t xml:space="preserve"> statutory provisions relating to </w:t>
            </w:r>
            <w:r w:rsidR="00FB5972" w:rsidRPr="00EA4D9A">
              <w:t>compliance with due process requirements</w:t>
            </w:r>
            <w:r w:rsidR="00FB5972">
              <w:t xml:space="preserve"> with regard to </w:t>
            </w:r>
            <w:r w:rsidR="00FB5972" w:rsidRPr="00FB5972">
              <w:t>a revocation, suspension, involuntary modification, or other disciplinary action relating to a license</w:t>
            </w:r>
            <w:r w:rsidR="00FB5972">
              <w:t>.</w:t>
            </w:r>
          </w:p>
          <w:p w14:paraId="1B8B7162" w14:textId="77777777" w:rsidR="008423E4" w:rsidRPr="00835628" w:rsidRDefault="008423E4" w:rsidP="00552FCA">
            <w:pPr>
              <w:rPr>
                <w:b/>
              </w:rPr>
            </w:pPr>
          </w:p>
        </w:tc>
      </w:tr>
      <w:tr w:rsidR="00CA1C7C" w14:paraId="7915AD46" w14:textId="77777777" w:rsidTr="00345119">
        <w:tc>
          <w:tcPr>
            <w:tcW w:w="9576" w:type="dxa"/>
          </w:tcPr>
          <w:p w14:paraId="66E27DD5" w14:textId="77777777" w:rsidR="008423E4" w:rsidRPr="00A8133F" w:rsidRDefault="00F31450" w:rsidP="00552FC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A023DF5" w14:textId="77777777" w:rsidR="008423E4" w:rsidRDefault="008423E4" w:rsidP="00552FCA"/>
          <w:p w14:paraId="630F90DB" w14:textId="77777777" w:rsidR="008423E4" w:rsidRPr="003624F2" w:rsidRDefault="00F31450" w:rsidP="00552F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67350BE1" w14:textId="77777777" w:rsidR="008423E4" w:rsidRPr="00233FDB" w:rsidRDefault="008423E4" w:rsidP="00552FCA">
            <w:pPr>
              <w:rPr>
                <w:b/>
              </w:rPr>
            </w:pPr>
          </w:p>
        </w:tc>
      </w:tr>
      <w:tr w:rsidR="00CA1C7C" w14:paraId="18DFFC1A" w14:textId="77777777" w:rsidTr="00345119">
        <w:tc>
          <w:tcPr>
            <w:tcW w:w="9576" w:type="dxa"/>
          </w:tcPr>
          <w:p w14:paraId="6CE3E71E" w14:textId="26754B2F" w:rsidR="009D4231" w:rsidRDefault="00F31450" w:rsidP="00552FC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7CD218BF" w14:textId="77777777" w:rsidR="00214AB2" w:rsidRPr="009D4231" w:rsidRDefault="00214AB2" w:rsidP="00552FCA">
            <w:pPr>
              <w:jc w:val="both"/>
              <w:rPr>
                <w:b/>
                <w:u w:val="single"/>
              </w:rPr>
            </w:pPr>
          </w:p>
          <w:p w14:paraId="31AF02D6" w14:textId="00B7FEA5" w:rsidR="007F02D0" w:rsidRDefault="00F31450" w:rsidP="00552FCA">
            <w:pPr>
              <w:jc w:val="both"/>
            </w:pPr>
            <w:r>
              <w:t>While C.S.H.B. 2380 may differ from the original in minor</w:t>
            </w:r>
            <w:r>
              <w:t xml:space="preserve"> or nonsubstantive ways, the following summarizes the substantial differences between the introduced and committee substitute versions of the bill.</w:t>
            </w:r>
          </w:p>
          <w:p w14:paraId="2ACC0887" w14:textId="285B2257" w:rsidR="009D4231" w:rsidRDefault="009D4231" w:rsidP="00552FCA">
            <w:pPr>
              <w:jc w:val="both"/>
            </w:pPr>
          </w:p>
          <w:p w14:paraId="252D0B4F" w14:textId="50FE321D" w:rsidR="00EF5C90" w:rsidRDefault="00F31450" w:rsidP="00552FCA">
            <w:pPr>
              <w:jc w:val="both"/>
            </w:pPr>
            <w:r>
              <w:t>The substitute includes the following provisions not contained in the original</w:t>
            </w:r>
            <w:r w:rsidR="00484055">
              <w:t>:</w:t>
            </w:r>
            <w:r>
              <w:t xml:space="preserve"> </w:t>
            </w:r>
          </w:p>
          <w:p w14:paraId="71C88082" w14:textId="27A9B3FB" w:rsidR="00EF5C90" w:rsidRDefault="00F31450" w:rsidP="00552FCA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>an authorization for</w:t>
            </w:r>
            <w:r w:rsidR="00D273AC">
              <w:t xml:space="preserve"> the TMB to authorize </w:t>
            </w:r>
            <w:r>
              <w:t>t</w:t>
            </w:r>
            <w:r w:rsidR="00C749AA">
              <w:t xml:space="preserve">he TMB legal counsel, </w:t>
            </w:r>
            <w:r w:rsidR="00861FC4">
              <w:t xml:space="preserve">a </w:t>
            </w:r>
            <w:r w:rsidR="00C749AA">
              <w:t xml:space="preserve">TMB </w:t>
            </w:r>
            <w:r>
              <w:t>staff member, or other person authorized or required</w:t>
            </w:r>
            <w:r w:rsidR="00D273AC">
              <w:t xml:space="preserve"> to participate in informal proceedings</w:t>
            </w:r>
            <w:r>
              <w:t xml:space="preserve"> to do so</w:t>
            </w:r>
            <w:r w:rsidR="00D273AC">
              <w:t xml:space="preserve"> by videoconference</w:t>
            </w:r>
            <w:r>
              <w:t>;</w:t>
            </w:r>
            <w:r w:rsidR="00D273AC">
              <w:t xml:space="preserve"> and </w:t>
            </w:r>
          </w:p>
          <w:p w14:paraId="28F6A335" w14:textId="269288CE" w:rsidR="007F02D0" w:rsidRPr="007F02D0" w:rsidRDefault="00F31450" w:rsidP="00552FCA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 xml:space="preserve">a </w:t>
            </w:r>
            <w:r w:rsidR="00D273AC">
              <w:t>requir</w:t>
            </w:r>
            <w:r>
              <w:t>ement for</w:t>
            </w:r>
            <w:r w:rsidR="00D273AC">
              <w:t xml:space="preserve"> the TMB to adopt procedures for holding informal proceedings by videoconference.</w:t>
            </w:r>
          </w:p>
        </w:tc>
      </w:tr>
      <w:tr w:rsidR="00CA1C7C" w14:paraId="2BA10B2C" w14:textId="77777777" w:rsidTr="00345119">
        <w:tc>
          <w:tcPr>
            <w:tcW w:w="9576" w:type="dxa"/>
          </w:tcPr>
          <w:p w14:paraId="7F1389F9" w14:textId="77777777" w:rsidR="002279C7" w:rsidRPr="009C1E9A" w:rsidRDefault="002279C7" w:rsidP="00552FCA">
            <w:pPr>
              <w:rPr>
                <w:b/>
                <w:u w:val="single"/>
              </w:rPr>
            </w:pPr>
          </w:p>
        </w:tc>
      </w:tr>
      <w:tr w:rsidR="00CA1C7C" w14:paraId="4104C6F4" w14:textId="77777777" w:rsidTr="00345119">
        <w:tc>
          <w:tcPr>
            <w:tcW w:w="9576" w:type="dxa"/>
          </w:tcPr>
          <w:p w14:paraId="6BE811EE" w14:textId="77777777" w:rsidR="002279C7" w:rsidRPr="002279C7" w:rsidRDefault="002279C7" w:rsidP="00552FCA">
            <w:pPr>
              <w:jc w:val="both"/>
            </w:pPr>
          </w:p>
        </w:tc>
      </w:tr>
    </w:tbl>
    <w:p w14:paraId="4FA53DE8" w14:textId="77777777" w:rsidR="008423E4" w:rsidRPr="00BE0E75" w:rsidRDefault="008423E4" w:rsidP="00552FCA">
      <w:pPr>
        <w:jc w:val="both"/>
        <w:rPr>
          <w:rFonts w:ascii="Arial" w:hAnsi="Arial"/>
          <w:sz w:val="16"/>
          <w:szCs w:val="16"/>
        </w:rPr>
      </w:pPr>
    </w:p>
    <w:p w14:paraId="1144C147" w14:textId="77777777" w:rsidR="004108C3" w:rsidRPr="008423E4" w:rsidRDefault="004108C3" w:rsidP="00552FC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08FC5" w14:textId="77777777" w:rsidR="00000000" w:rsidRDefault="00F31450">
      <w:r>
        <w:separator/>
      </w:r>
    </w:p>
  </w:endnote>
  <w:endnote w:type="continuationSeparator" w:id="0">
    <w:p w14:paraId="2FE23413" w14:textId="77777777" w:rsidR="00000000" w:rsidRDefault="00F3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04961" w14:textId="77777777" w:rsidR="00CD3906" w:rsidRDefault="00CD3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A1C7C" w14:paraId="1AA30C14" w14:textId="77777777" w:rsidTr="009C1E9A">
      <w:trPr>
        <w:cantSplit/>
      </w:trPr>
      <w:tc>
        <w:tcPr>
          <w:tcW w:w="0" w:type="pct"/>
        </w:tcPr>
        <w:p w14:paraId="591905E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00493B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AA28AD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8B489D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119822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1C7C" w14:paraId="3276BC22" w14:textId="77777777" w:rsidTr="009C1E9A">
      <w:trPr>
        <w:cantSplit/>
      </w:trPr>
      <w:tc>
        <w:tcPr>
          <w:tcW w:w="0" w:type="pct"/>
        </w:tcPr>
        <w:p w14:paraId="7C13230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5345DA7" w14:textId="540FED66" w:rsidR="00EC379B" w:rsidRPr="009C1E9A" w:rsidRDefault="00F3145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22484</w:t>
          </w:r>
        </w:p>
      </w:tc>
      <w:tc>
        <w:tcPr>
          <w:tcW w:w="2453" w:type="pct"/>
        </w:tcPr>
        <w:p w14:paraId="44F97E80" w14:textId="5EC504BD" w:rsidR="00EC379B" w:rsidRDefault="00F3145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0175B">
            <w:t>21.116.2102</w:t>
          </w:r>
          <w:r>
            <w:fldChar w:fldCharType="end"/>
          </w:r>
        </w:p>
      </w:tc>
    </w:tr>
    <w:tr w:rsidR="00CA1C7C" w14:paraId="71F15D48" w14:textId="77777777" w:rsidTr="009C1E9A">
      <w:trPr>
        <w:cantSplit/>
      </w:trPr>
      <w:tc>
        <w:tcPr>
          <w:tcW w:w="0" w:type="pct"/>
        </w:tcPr>
        <w:p w14:paraId="101C30B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48546C1" w14:textId="7F8364B2" w:rsidR="00EC379B" w:rsidRPr="009C1E9A" w:rsidRDefault="00F3145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12887</w:t>
          </w:r>
        </w:p>
      </w:tc>
      <w:tc>
        <w:tcPr>
          <w:tcW w:w="2453" w:type="pct"/>
        </w:tcPr>
        <w:p w14:paraId="27F81A0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40B560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1C7C" w14:paraId="7C361A0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3947948" w14:textId="15C5E97D" w:rsidR="00EC379B" w:rsidRDefault="00F3145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52FCA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01FDAF2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2915FB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474C3" w14:textId="77777777" w:rsidR="00CD3906" w:rsidRDefault="00CD3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4909A" w14:textId="77777777" w:rsidR="00000000" w:rsidRDefault="00F31450">
      <w:r>
        <w:separator/>
      </w:r>
    </w:p>
  </w:footnote>
  <w:footnote w:type="continuationSeparator" w:id="0">
    <w:p w14:paraId="6BF7D9A1" w14:textId="77777777" w:rsidR="00000000" w:rsidRDefault="00F31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4776" w14:textId="77777777" w:rsidR="00CD3906" w:rsidRDefault="00CD39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E165B" w14:textId="77777777" w:rsidR="00CD3906" w:rsidRDefault="00CD39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48E13" w14:textId="77777777" w:rsidR="00CD3906" w:rsidRDefault="00CD39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1DB1"/>
    <w:multiLevelType w:val="hybridMultilevel"/>
    <w:tmpl w:val="805A83DA"/>
    <w:lvl w:ilvl="0" w:tplc="F2E6F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D291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0C75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0F6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B6A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1A88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28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10B5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12F0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17BB2"/>
    <w:multiLevelType w:val="hybridMultilevel"/>
    <w:tmpl w:val="51E8B378"/>
    <w:lvl w:ilvl="0" w:tplc="77BE5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42E0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1AE3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AEB0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C55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56CD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B8F7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EC5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F08A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577DE"/>
    <w:multiLevelType w:val="hybridMultilevel"/>
    <w:tmpl w:val="C3180274"/>
    <w:lvl w:ilvl="0" w:tplc="BBE82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A4CD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1A97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6EB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27D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927E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835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AF8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721D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9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56CC3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4AB2"/>
    <w:rsid w:val="00216BBA"/>
    <w:rsid w:val="00216E12"/>
    <w:rsid w:val="00217466"/>
    <w:rsid w:val="0021751D"/>
    <w:rsid w:val="00217C49"/>
    <w:rsid w:val="0022177D"/>
    <w:rsid w:val="00224C37"/>
    <w:rsid w:val="002279C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438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644E"/>
    <w:rsid w:val="002E21B8"/>
    <w:rsid w:val="002E4846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606E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071C"/>
    <w:rsid w:val="0046195A"/>
    <w:rsid w:val="00461B69"/>
    <w:rsid w:val="00462B3D"/>
    <w:rsid w:val="00474927"/>
    <w:rsid w:val="00475913"/>
    <w:rsid w:val="00480080"/>
    <w:rsid w:val="004824A7"/>
    <w:rsid w:val="00483AF0"/>
    <w:rsid w:val="00484055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3899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0FB7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2FCA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2278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152C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02D0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07BE3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1FC4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3982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45F5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231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591"/>
    <w:rsid w:val="00AE4F1C"/>
    <w:rsid w:val="00AF1433"/>
    <w:rsid w:val="00AF48B4"/>
    <w:rsid w:val="00AF4923"/>
    <w:rsid w:val="00AF7C74"/>
    <w:rsid w:val="00B000AF"/>
    <w:rsid w:val="00B0175B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571D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342A"/>
    <w:rsid w:val="00C72956"/>
    <w:rsid w:val="00C73045"/>
    <w:rsid w:val="00C73212"/>
    <w:rsid w:val="00C7354A"/>
    <w:rsid w:val="00C74379"/>
    <w:rsid w:val="00C749AA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1C7C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65D8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3906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437C"/>
    <w:rsid w:val="00D22160"/>
    <w:rsid w:val="00D22172"/>
    <w:rsid w:val="00D2301B"/>
    <w:rsid w:val="00D239EE"/>
    <w:rsid w:val="00D273AC"/>
    <w:rsid w:val="00D30534"/>
    <w:rsid w:val="00D31DA2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CB9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87E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5F26"/>
    <w:rsid w:val="00E96852"/>
    <w:rsid w:val="00EA16AC"/>
    <w:rsid w:val="00EA385A"/>
    <w:rsid w:val="00EA3931"/>
    <w:rsid w:val="00EA4D9A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5C90"/>
    <w:rsid w:val="00EF7E26"/>
    <w:rsid w:val="00F00B2C"/>
    <w:rsid w:val="00F01DFA"/>
    <w:rsid w:val="00F02096"/>
    <w:rsid w:val="00F02457"/>
    <w:rsid w:val="00F036C3"/>
    <w:rsid w:val="00F0417E"/>
    <w:rsid w:val="00F05010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450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39DB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5972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97C99B-2636-4489-84AA-36A9BD52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E45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4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459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4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4591"/>
    <w:rPr>
      <w:b/>
      <w:bCs/>
    </w:rPr>
  </w:style>
  <w:style w:type="character" w:styleId="Hyperlink">
    <w:name w:val="Hyperlink"/>
    <w:basedOn w:val="DefaultParagraphFont"/>
    <w:unhideWhenUsed/>
    <w:rsid w:val="00AE45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2790</Characters>
  <Application>Microsoft Office Word</Application>
  <DocSecurity>4</DocSecurity>
  <Lines>75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HB02380 (Committee Report (Substituted))</vt:lpstr>
    </vt:vector>
  </TitlesOfParts>
  <Company>State of Texas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22484</dc:subject>
  <dc:creator>State of Texas</dc:creator>
  <dc:description>HB 2380 by Smith-(H)Public Health (Substitute Document Number: 87R 12887)</dc:description>
  <cp:lastModifiedBy>Stacey Nicchio</cp:lastModifiedBy>
  <cp:revision>2</cp:revision>
  <cp:lastPrinted>2003-11-26T17:21:00Z</cp:lastPrinted>
  <dcterms:created xsi:type="dcterms:W3CDTF">2021-04-29T18:02:00Z</dcterms:created>
  <dcterms:modified xsi:type="dcterms:W3CDTF">2021-04-29T18:02:00Z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21.116.2102</vt:lpwstr>
  </property>
</Properties>
</file>