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57490" w14:paraId="44D1B38A" w14:textId="77777777" w:rsidTr="00345119">
        <w:tc>
          <w:tcPr>
            <w:tcW w:w="9576" w:type="dxa"/>
            <w:noWrap/>
          </w:tcPr>
          <w:p w14:paraId="6EB5858F" w14:textId="77777777" w:rsidR="008423E4" w:rsidRPr="0022177D" w:rsidRDefault="005002BE" w:rsidP="006C45B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E180E3" w14:textId="77777777" w:rsidR="008423E4" w:rsidRPr="0022177D" w:rsidRDefault="008423E4" w:rsidP="006C45B6">
      <w:pPr>
        <w:jc w:val="center"/>
      </w:pPr>
    </w:p>
    <w:p w14:paraId="551A5071" w14:textId="77777777" w:rsidR="008423E4" w:rsidRPr="00B31F0E" w:rsidRDefault="008423E4" w:rsidP="006C45B6"/>
    <w:p w14:paraId="6D8CDFEE" w14:textId="77777777" w:rsidR="008423E4" w:rsidRPr="00742794" w:rsidRDefault="008423E4" w:rsidP="006C45B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7490" w14:paraId="19820D9D" w14:textId="77777777" w:rsidTr="00345119">
        <w:tc>
          <w:tcPr>
            <w:tcW w:w="9576" w:type="dxa"/>
          </w:tcPr>
          <w:p w14:paraId="5077A858" w14:textId="77777777" w:rsidR="008423E4" w:rsidRPr="00861995" w:rsidRDefault="005002BE" w:rsidP="006C45B6">
            <w:pPr>
              <w:jc w:val="right"/>
            </w:pPr>
            <w:r>
              <w:t>C.S.H.B. 2417</w:t>
            </w:r>
          </w:p>
        </w:tc>
      </w:tr>
      <w:tr w:rsidR="00157490" w14:paraId="19243187" w14:textId="77777777" w:rsidTr="00345119">
        <w:tc>
          <w:tcPr>
            <w:tcW w:w="9576" w:type="dxa"/>
          </w:tcPr>
          <w:p w14:paraId="2D510B1D" w14:textId="77777777" w:rsidR="008423E4" w:rsidRPr="00861995" w:rsidRDefault="005002BE" w:rsidP="006C45B6">
            <w:pPr>
              <w:jc w:val="right"/>
            </w:pPr>
            <w:r>
              <w:t xml:space="preserve">By: </w:t>
            </w:r>
            <w:r w:rsidR="00FA12F4">
              <w:t>Gervin-Hawkins</w:t>
            </w:r>
          </w:p>
        </w:tc>
      </w:tr>
      <w:tr w:rsidR="00157490" w14:paraId="5EE00507" w14:textId="77777777" w:rsidTr="00345119">
        <w:tc>
          <w:tcPr>
            <w:tcW w:w="9576" w:type="dxa"/>
          </w:tcPr>
          <w:p w14:paraId="1C8CC14A" w14:textId="77777777" w:rsidR="008423E4" w:rsidRPr="00861995" w:rsidRDefault="005002BE" w:rsidP="006C45B6">
            <w:pPr>
              <w:jc w:val="right"/>
            </w:pPr>
            <w:r>
              <w:t>Culture, Recreation &amp; Tourism</w:t>
            </w:r>
          </w:p>
        </w:tc>
      </w:tr>
      <w:tr w:rsidR="00157490" w14:paraId="1FFFECD0" w14:textId="77777777" w:rsidTr="00345119">
        <w:tc>
          <w:tcPr>
            <w:tcW w:w="9576" w:type="dxa"/>
          </w:tcPr>
          <w:p w14:paraId="532DD2E1" w14:textId="77777777" w:rsidR="008423E4" w:rsidRDefault="005002BE" w:rsidP="006C45B6">
            <w:pPr>
              <w:jc w:val="right"/>
            </w:pPr>
            <w:r>
              <w:t>Committee Report (Substituted)</w:t>
            </w:r>
          </w:p>
        </w:tc>
      </w:tr>
    </w:tbl>
    <w:p w14:paraId="382CB0B1" w14:textId="77777777" w:rsidR="008423E4" w:rsidRDefault="008423E4" w:rsidP="006C45B6">
      <w:pPr>
        <w:tabs>
          <w:tab w:val="right" w:pos="9360"/>
        </w:tabs>
      </w:pPr>
    </w:p>
    <w:p w14:paraId="25835AEE" w14:textId="77777777" w:rsidR="008423E4" w:rsidRDefault="008423E4" w:rsidP="006C45B6"/>
    <w:p w14:paraId="3B443421" w14:textId="77777777" w:rsidR="008423E4" w:rsidRDefault="008423E4" w:rsidP="006C45B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57490" w14:paraId="15233202" w14:textId="77777777" w:rsidTr="00345119">
        <w:tc>
          <w:tcPr>
            <w:tcW w:w="9576" w:type="dxa"/>
          </w:tcPr>
          <w:p w14:paraId="42909D65" w14:textId="77777777" w:rsidR="008423E4" w:rsidRPr="00A8133F" w:rsidRDefault="005002BE" w:rsidP="006C45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F30980" w14:textId="77777777" w:rsidR="008423E4" w:rsidRDefault="008423E4" w:rsidP="006C45B6"/>
          <w:p w14:paraId="46C05D39" w14:textId="5BB375B3" w:rsidR="008423E4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="00752D95">
              <w:t>that access to incentive programs, long-term investments</w:t>
            </w:r>
            <w:r>
              <w:t>,</w:t>
            </w:r>
            <w:r w:rsidR="00752D95">
              <w:t xml:space="preserve"> and </w:t>
            </w:r>
            <w:r w:rsidR="00F72337">
              <w:t xml:space="preserve">production </w:t>
            </w:r>
            <w:r w:rsidR="00752D95">
              <w:t xml:space="preserve">commitments </w:t>
            </w:r>
            <w:r w:rsidR="00F72337">
              <w:t>for</w:t>
            </w:r>
            <w:r w:rsidR="00752D95">
              <w:t xml:space="preserve"> the </w:t>
            </w:r>
            <w:r>
              <w:t>m</w:t>
            </w:r>
            <w:r w:rsidR="00752D95">
              <w:t xml:space="preserve">oving </w:t>
            </w:r>
            <w:r>
              <w:t>i</w:t>
            </w:r>
            <w:r w:rsidR="00752D95">
              <w:t xml:space="preserve">mage </w:t>
            </w:r>
            <w:r>
              <w:t>i</w:t>
            </w:r>
            <w:r w:rsidR="00752D95">
              <w:t>ndustry</w:t>
            </w:r>
            <w:r w:rsidR="00F72337">
              <w:t xml:space="preserve"> in Texas</w:t>
            </w:r>
            <w:r w:rsidR="00752D95">
              <w:t xml:space="preserve"> ha</w:t>
            </w:r>
            <w:r>
              <w:t>ve</w:t>
            </w:r>
            <w:r w:rsidR="00752D95">
              <w:t xml:space="preserve"> not kept pace with the rest of the country. Th</w:t>
            </w:r>
            <w:r>
              <w:t>is i</w:t>
            </w:r>
            <w:r w:rsidR="00752D95">
              <w:t>ndustry</w:t>
            </w:r>
            <w:r>
              <w:t>, which</w:t>
            </w:r>
            <w:r w:rsidR="00752D95">
              <w:t xml:space="preserve"> includes </w:t>
            </w:r>
            <w:r>
              <w:t>f</w:t>
            </w:r>
            <w:r w:rsidR="00752D95">
              <w:t>ilm</w:t>
            </w:r>
            <w:r>
              <w:t>, t</w:t>
            </w:r>
            <w:r w:rsidR="00752D95">
              <w:t xml:space="preserve">elevision, </w:t>
            </w:r>
            <w:r>
              <w:t>c</w:t>
            </w:r>
            <w:r w:rsidR="00752D95">
              <w:t xml:space="preserve">ommercials, </w:t>
            </w:r>
            <w:r>
              <w:t>v</w:t>
            </w:r>
            <w:r w:rsidR="00752D95">
              <w:t>ideo</w:t>
            </w:r>
            <w:r w:rsidR="00D42D70">
              <w:t xml:space="preserve"> </w:t>
            </w:r>
            <w:r>
              <w:t>g</w:t>
            </w:r>
            <w:r w:rsidR="00752D95">
              <w:t xml:space="preserve">ames, and </w:t>
            </w:r>
            <w:r>
              <w:t>v</w:t>
            </w:r>
            <w:r w:rsidR="00752D95">
              <w:t xml:space="preserve">isual </w:t>
            </w:r>
            <w:r>
              <w:t>e</w:t>
            </w:r>
            <w:r w:rsidR="00752D95">
              <w:t>ffects</w:t>
            </w:r>
            <w:r>
              <w:t xml:space="preserve">, </w:t>
            </w:r>
            <w:r w:rsidR="00752D95">
              <w:t>has transitioned into a technology</w:t>
            </w:r>
            <w:r w:rsidR="00E87467">
              <w:t>-</w:t>
            </w:r>
            <w:r w:rsidR="00752D95">
              <w:t xml:space="preserve">driven industry with a particular increase in demand for streaming content. Current requirements and restrictions make it difficult for production companies to produce </w:t>
            </w:r>
            <w:r>
              <w:t xml:space="preserve">content </w:t>
            </w:r>
            <w:r w:rsidR="00752D95">
              <w:t xml:space="preserve">in Texas. This has had a </w:t>
            </w:r>
            <w:r>
              <w:t>n</w:t>
            </w:r>
            <w:r w:rsidR="00752D95">
              <w:t>egative economic impact</w:t>
            </w:r>
            <w:r w:rsidR="00696FB6">
              <w:t xml:space="preserve"> on </w:t>
            </w:r>
            <w:r w:rsidR="00F72337">
              <w:t xml:space="preserve">the </w:t>
            </w:r>
            <w:r w:rsidR="00696FB6">
              <w:t xml:space="preserve">state as </w:t>
            </w:r>
            <w:r w:rsidR="009E3AB9">
              <w:t>production companies</w:t>
            </w:r>
            <w:r w:rsidR="00696FB6">
              <w:t xml:space="preserve"> </w:t>
            </w:r>
            <w:r w:rsidR="00B03C78">
              <w:t>h</w:t>
            </w:r>
            <w:r w:rsidR="009E3AB9">
              <w:t>ave</w:t>
            </w:r>
            <w:r w:rsidR="00F72337">
              <w:t xml:space="preserve"> chosen to go</w:t>
            </w:r>
            <w:r w:rsidR="00696FB6">
              <w:t xml:space="preserve"> to other states</w:t>
            </w:r>
            <w:r w:rsidR="00752D95">
              <w:t>.</w:t>
            </w:r>
            <w:r w:rsidR="004B13D3">
              <w:t xml:space="preserve"> </w:t>
            </w:r>
            <w:r w:rsidR="00696FB6">
              <w:t>C.S.</w:t>
            </w:r>
            <w:r w:rsidR="00752D95">
              <w:t>H</w:t>
            </w:r>
            <w:r w:rsidR="00696FB6">
              <w:t>.</w:t>
            </w:r>
            <w:r w:rsidR="00752D95">
              <w:t>B</w:t>
            </w:r>
            <w:r w:rsidR="00696FB6">
              <w:t>.</w:t>
            </w:r>
            <w:r w:rsidR="00752D95">
              <w:t xml:space="preserve"> 2417 seeks</w:t>
            </w:r>
            <w:r w:rsidR="007D49A5">
              <w:t xml:space="preserve"> to address this issue by providing for a </w:t>
            </w:r>
            <w:r w:rsidR="007D49A5" w:rsidRPr="007D49A5">
              <w:t>media production facility incentive program</w:t>
            </w:r>
            <w:r w:rsidR="00752D95">
              <w:t xml:space="preserve"> </w:t>
            </w:r>
            <w:r w:rsidR="00A401D7">
              <w:t xml:space="preserve">in order </w:t>
            </w:r>
            <w:r w:rsidR="00752D95">
              <w:t xml:space="preserve">to more effectively engage the </w:t>
            </w:r>
            <w:r w:rsidR="00A401D7">
              <w:t>m</w:t>
            </w:r>
            <w:r w:rsidR="00752D95">
              <w:t xml:space="preserve">oving </w:t>
            </w:r>
            <w:r w:rsidR="00A401D7">
              <w:t>i</w:t>
            </w:r>
            <w:r w:rsidR="00752D95">
              <w:t xml:space="preserve">mage </w:t>
            </w:r>
            <w:r w:rsidR="00A401D7">
              <w:t>i</w:t>
            </w:r>
            <w:r w:rsidR="00752D95">
              <w:t>ndustry and stimulate the</w:t>
            </w:r>
            <w:r w:rsidR="00F72337">
              <w:t xml:space="preserve"> state's</w:t>
            </w:r>
            <w:r w:rsidR="00752D95">
              <w:t xml:space="preserve"> economy and job market</w:t>
            </w:r>
            <w:r w:rsidR="00A401D7">
              <w:t>.</w:t>
            </w:r>
          </w:p>
          <w:p w14:paraId="5CC538DC" w14:textId="77777777" w:rsidR="008423E4" w:rsidRPr="00E26B13" w:rsidRDefault="008423E4" w:rsidP="006C45B6">
            <w:pPr>
              <w:rPr>
                <w:b/>
              </w:rPr>
            </w:pPr>
          </w:p>
        </w:tc>
      </w:tr>
      <w:tr w:rsidR="00157490" w14:paraId="46820A8A" w14:textId="77777777" w:rsidTr="00345119">
        <w:tc>
          <w:tcPr>
            <w:tcW w:w="9576" w:type="dxa"/>
          </w:tcPr>
          <w:p w14:paraId="0242214A" w14:textId="77777777" w:rsidR="0017725B" w:rsidRDefault="005002BE" w:rsidP="006C45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03CDF4" w14:textId="77777777" w:rsidR="0017725B" w:rsidRDefault="0017725B" w:rsidP="006C45B6">
            <w:pPr>
              <w:rPr>
                <w:b/>
                <w:u w:val="single"/>
              </w:rPr>
            </w:pPr>
          </w:p>
          <w:p w14:paraId="60C70CA6" w14:textId="13E9D08F" w:rsidR="00AA7F2A" w:rsidRPr="00AA7F2A" w:rsidRDefault="005002BE" w:rsidP="006C45B6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14:paraId="42D37D7D" w14:textId="77777777" w:rsidR="0017725B" w:rsidRPr="0017725B" w:rsidRDefault="0017725B" w:rsidP="006C45B6">
            <w:pPr>
              <w:rPr>
                <w:b/>
                <w:u w:val="single"/>
              </w:rPr>
            </w:pPr>
          </w:p>
        </w:tc>
      </w:tr>
      <w:tr w:rsidR="00157490" w14:paraId="0B6E32FD" w14:textId="77777777" w:rsidTr="00345119">
        <w:tc>
          <w:tcPr>
            <w:tcW w:w="9576" w:type="dxa"/>
          </w:tcPr>
          <w:p w14:paraId="05DB19B7" w14:textId="77777777" w:rsidR="008423E4" w:rsidRPr="00A8133F" w:rsidRDefault="005002BE" w:rsidP="006C45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764331" w14:textId="77777777" w:rsidR="008423E4" w:rsidRDefault="008423E4" w:rsidP="006C45B6"/>
          <w:p w14:paraId="7417E9C7" w14:textId="7E4656FF" w:rsidR="00AA7F2A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AA7F2A">
              <w:t xml:space="preserve">Music, Film, Television, and Multimedia Office </w:t>
            </w:r>
            <w:r>
              <w:t xml:space="preserve">in </w:t>
            </w:r>
            <w:r w:rsidRPr="00AA7F2A">
              <w:t>SECTION 2</w:t>
            </w:r>
            <w:r>
              <w:t xml:space="preserve"> of this bill.</w:t>
            </w:r>
          </w:p>
          <w:p w14:paraId="24CA9977" w14:textId="77777777" w:rsidR="008423E4" w:rsidRPr="00E21FDC" w:rsidRDefault="008423E4" w:rsidP="006C45B6">
            <w:pPr>
              <w:rPr>
                <w:b/>
              </w:rPr>
            </w:pPr>
          </w:p>
        </w:tc>
      </w:tr>
      <w:tr w:rsidR="00157490" w14:paraId="7614C978" w14:textId="77777777" w:rsidTr="00345119">
        <w:tc>
          <w:tcPr>
            <w:tcW w:w="9576" w:type="dxa"/>
          </w:tcPr>
          <w:p w14:paraId="1DA6D5B3" w14:textId="77777777" w:rsidR="008423E4" w:rsidRPr="00A8133F" w:rsidRDefault="005002BE" w:rsidP="006C45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460F9F0" w14:textId="77777777" w:rsidR="008423E4" w:rsidRDefault="008423E4" w:rsidP="006C45B6"/>
          <w:p w14:paraId="376131B9" w14:textId="4535BC05" w:rsidR="00065B08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2417 amends the </w:t>
            </w:r>
            <w:r w:rsidRPr="00065B08">
              <w:t>Government Code</w:t>
            </w:r>
            <w:r>
              <w:t xml:space="preserve"> to </w:t>
            </w:r>
            <w:r w:rsidR="00DC5CD8">
              <w:t>require</w:t>
            </w:r>
            <w:r>
              <w:t xml:space="preserve"> the </w:t>
            </w:r>
            <w:r w:rsidRPr="00065B08">
              <w:t xml:space="preserve">Music, Film, Television, and Multimedia Office </w:t>
            </w:r>
            <w:r>
              <w:t>to</w:t>
            </w:r>
            <w:r w:rsidRPr="00065B08">
              <w:t xml:space="preserve"> administer </w:t>
            </w:r>
            <w:r w:rsidR="00567EFC">
              <w:t xml:space="preserve">a </w:t>
            </w:r>
            <w:r>
              <w:t>media production facility incentive</w:t>
            </w:r>
            <w:r w:rsidRPr="00065B08">
              <w:t xml:space="preserve"> </w:t>
            </w:r>
            <w:r w:rsidR="00567EFC">
              <w:t xml:space="preserve">grant </w:t>
            </w:r>
            <w:r w:rsidRPr="00065B08">
              <w:t>program</w:t>
            </w:r>
            <w:r w:rsidR="00567EFC">
              <w:t xml:space="preserve"> </w:t>
            </w:r>
            <w:r w:rsidRPr="00065B08">
              <w:t>for production companies that construct media production facilities at a qualified media production location</w:t>
            </w:r>
            <w:r w:rsidR="00DC5CD8">
              <w:t xml:space="preserve">, as such facilities and locations are defined under </w:t>
            </w:r>
            <w:r w:rsidR="00DC5CD8" w:rsidRPr="00DC5CD8">
              <w:t>the Media Production Development Zone Act</w:t>
            </w:r>
            <w:r w:rsidRPr="00065B08">
              <w:t>.</w:t>
            </w:r>
            <w:r>
              <w:t xml:space="preserve"> </w:t>
            </w:r>
            <w:r w:rsidR="00146A50">
              <w:t xml:space="preserve">The bill </w:t>
            </w:r>
            <w:r w:rsidR="00146A50" w:rsidRPr="00546963">
              <w:t xml:space="preserve">authorizes the </w:t>
            </w:r>
            <w:r w:rsidR="00F93B26">
              <w:t>o</w:t>
            </w:r>
            <w:r w:rsidR="00146A50" w:rsidRPr="00546963">
              <w:t>ffice to accept</w:t>
            </w:r>
            <w:r w:rsidR="00546963">
              <w:t xml:space="preserve"> and use</w:t>
            </w:r>
            <w:r w:rsidR="00146A50" w:rsidRPr="00546963">
              <w:t xml:space="preserve"> gifts, grants, and donations for the purpose of</w:t>
            </w:r>
            <w:r w:rsidR="00803A98" w:rsidRPr="00546963">
              <w:t xml:space="preserve"> the program's</w:t>
            </w:r>
            <w:r w:rsidR="00146A50" w:rsidRPr="00546963">
              <w:t xml:space="preserve"> implement</w:t>
            </w:r>
            <w:r w:rsidR="00803A98" w:rsidRPr="00546963">
              <w:t>ation</w:t>
            </w:r>
            <w:r w:rsidR="00546963">
              <w:t>, and the office may also use appropriations made available for that purpose. For purposes of the program, "production company" includes</w:t>
            </w:r>
            <w:r w:rsidRPr="00546963">
              <w:t xml:space="preserve"> a film production company, television production company, digital interactive media production company, or film and television production company.</w:t>
            </w:r>
          </w:p>
          <w:p w14:paraId="26BD4F44" w14:textId="77777777" w:rsidR="00065B08" w:rsidRDefault="00065B08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7969B00" w14:textId="04E3DCDA" w:rsidR="00065B08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2417</w:t>
            </w:r>
            <w:r w:rsidR="00146A50">
              <w:t xml:space="preserve"> requires the office to</w:t>
            </w:r>
            <w:r>
              <w:t xml:space="preserve"> deve</w:t>
            </w:r>
            <w:r>
              <w:t xml:space="preserve">lop a procedure for the submission of grant applications and the awarding of grants under </w:t>
            </w:r>
            <w:r w:rsidR="00146A50">
              <w:t>the program</w:t>
            </w:r>
            <w:r w:rsidR="00696F90">
              <w:t>,</w:t>
            </w:r>
            <w:r w:rsidR="00146A50">
              <w:t xml:space="preserve"> which </w:t>
            </w:r>
            <w:r>
              <w:t>must include</w:t>
            </w:r>
            <w:r w:rsidR="00146A50">
              <w:t xml:space="preserve"> the following</w:t>
            </w:r>
            <w:r>
              <w:t>:</w:t>
            </w:r>
          </w:p>
          <w:p w14:paraId="77C52AC9" w14:textId="77777777" w:rsidR="00065B08" w:rsidRDefault="005002BE" w:rsidP="006C45B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requirements for the submission, before facility construction begins, of an estimate of total in-state construction spe</w:t>
            </w:r>
            <w:r>
              <w:t>nding; and</w:t>
            </w:r>
          </w:p>
          <w:p w14:paraId="62074E6A" w14:textId="77777777" w:rsidR="00065B08" w:rsidRDefault="005002BE" w:rsidP="006C45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relating to the submission of other information considered useful and necessary by the office for an adequate and accurate analysis of a production company's qualifications f</w:t>
            </w:r>
            <w:r w:rsidR="00146A50">
              <w:t>or a grant</w:t>
            </w:r>
            <w:r>
              <w:t>.</w:t>
            </w:r>
          </w:p>
          <w:p w14:paraId="4D5819D7" w14:textId="77777777" w:rsidR="00146A50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</w:t>
            </w:r>
            <w:r w:rsidRPr="00146A50">
              <w:t>"</w:t>
            </w:r>
            <w:r>
              <w:t>i</w:t>
            </w:r>
            <w:r w:rsidRPr="00146A50">
              <w:t>n-state construction spending</w:t>
            </w:r>
            <w:r w:rsidRPr="00146A50">
              <w:t xml:space="preserve">" </w:t>
            </w:r>
            <w:r>
              <w:t>a</w:t>
            </w:r>
            <w:r w:rsidRPr="00146A50">
              <w:t>s the amount of money spent by a production company on the acquisition, construction, renovation, or lease of a media production facility</w:t>
            </w:r>
            <w:r>
              <w:t>.</w:t>
            </w:r>
          </w:p>
          <w:p w14:paraId="47E42512" w14:textId="77777777" w:rsidR="00146A50" w:rsidRDefault="00146A50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6F06D2" w14:textId="77777777" w:rsidR="00EB7474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2417 requires a production company to meet the following qualifications to qualify for a grant:</w:t>
            </w:r>
          </w:p>
          <w:p w14:paraId="3C65739E" w14:textId="77777777" w:rsidR="00EB7474" w:rsidRDefault="005002BE" w:rsidP="006C45B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prod</w:t>
            </w:r>
            <w:r>
              <w:t>uction company must be one of the following:</w:t>
            </w:r>
          </w:p>
          <w:p w14:paraId="1B113943" w14:textId="4ECF4BF6" w:rsidR="00EB7474" w:rsidRDefault="005002BE" w:rsidP="006C45B6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a limited liability company, partnership, or corporation formed or organized under </w:t>
            </w:r>
            <w:r w:rsidR="00C2129C">
              <w:t xml:space="preserve">state </w:t>
            </w:r>
            <w:r>
              <w:t>law; or</w:t>
            </w:r>
          </w:p>
          <w:p w14:paraId="7ECE700A" w14:textId="77777777" w:rsidR="00EB7474" w:rsidRDefault="005002BE" w:rsidP="006C45B6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 joint venture or other legal entity in which at least one entity that holds at least a 30 percent ownership inte</w:t>
            </w:r>
            <w:r>
              <w:t>rest is such a company, partnership, or corporation; and</w:t>
            </w:r>
          </w:p>
          <w:p w14:paraId="50AD3262" w14:textId="77777777" w:rsidR="00146A50" w:rsidRDefault="005002BE" w:rsidP="006C45B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EB7474">
              <w:t>the production company must</w:t>
            </w:r>
            <w:r>
              <w:t xml:space="preserve"> commit to constructing a media production facility and producing moving image projects for a 10-year period.</w:t>
            </w:r>
          </w:p>
          <w:p w14:paraId="1F72B218" w14:textId="77777777" w:rsidR="00146A50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040C5">
              <w:t>The bill establishes that a production company is not required to reapply for a grant for each year of the 10-year period.</w:t>
            </w:r>
          </w:p>
          <w:p w14:paraId="0E270A0E" w14:textId="77777777" w:rsidR="00D040C5" w:rsidRDefault="00D040C5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B96B91" w14:textId="77777777" w:rsidR="00D040C5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2417 establishes that </w:t>
            </w:r>
            <w:r w:rsidR="00792F67">
              <w:t>a grant</w:t>
            </w:r>
            <w:r>
              <w:t xml:space="preserve"> amount is determined as follows:</w:t>
            </w:r>
          </w:p>
          <w:p w14:paraId="06606129" w14:textId="77777777" w:rsidR="00D040C5" w:rsidRDefault="005002BE" w:rsidP="006C45B6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if the production company spent at least $2 million but less than $4 million on the facility, the </w:t>
            </w:r>
            <w:r w:rsidR="00893E74">
              <w:t xml:space="preserve">grant </w:t>
            </w:r>
            <w:r>
              <w:t>amount is equal to 10 percent of in-state construction spending on the facility; or</w:t>
            </w:r>
          </w:p>
          <w:p w14:paraId="3A7C204F" w14:textId="77777777" w:rsidR="00D040C5" w:rsidRDefault="005002BE" w:rsidP="006C45B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if the production company spent at least $4 million on the facility,</w:t>
            </w:r>
            <w:r>
              <w:t xml:space="preserve"> the </w:t>
            </w:r>
            <w:r w:rsidR="00893E74">
              <w:t>grant amount</w:t>
            </w:r>
            <w:r>
              <w:t xml:space="preserve"> is equal to 20 percent of in-state construction spending on the facility.</w:t>
            </w:r>
          </w:p>
          <w:p w14:paraId="46F05C4D" w14:textId="77777777" w:rsidR="00D040C5" w:rsidRDefault="00D040C5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E11DB81" w14:textId="77777777" w:rsidR="00D040C5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2417 </w:t>
            </w:r>
            <w:r w:rsidR="00777838">
              <w:t xml:space="preserve">makes a production company </w:t>
            </w:r>
            <w:r w:rsidR="00777838" w:rsidRPr="00777838">
              <w:t>eligible for an additional grant in an amount equal to 7.5 percent of the total amount of the company's in-state construction spending for a media production facility</w:t>
            </w:r>
            <w:r w:rsidR="00777838">
              <w:t xml:space="preserve"> under the following conditions:</w:t>
            </w:r>
          </w:p>
          <w:p w14:paraId="5E1E9C0F" w14:textId="77777777" w:rsidR="00777838" w:rsidRDefault="005002BE" w:rsidP="006C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company </w:t>
            </w:r>
            <w:r w:rsidRPr="00777838">
              <w:t xml:space="preserve">constructs </w:t>
            </w:r>
            <w:r>
              <w:t>the</w:t>
            </w:r>
            <w:r w:rsidRPr="00777838">
              <w:t xml:space="preserve"> facility in an underutilized and economically distressed area</w:t>
            </w:r>
            <w:r>
              <w:t>; or</w:t>
            </w:r>
          </w:p>
          <w:p w14:paraId="5755CE21" w14:textId="77777777" w:rsidR="00777838" w:rsidRDefault="005002BE" w:rsidP="006C45B6">
            <w:pPr>
              <w:pStyle w:val="Header"/>
              <w:numPr>
                <w:ilvl w:val="0"/>
                <w:numId w:val="7"/>
              </w:numPr>
              <w:jc w:val="both"/>
            </w:pPr>
            <w:r>
              <w:t>the company constructs the facility to produce projects with a focus on persons from d</w:t>
            </w:r>
            <w:r>
              <w:t xml:space="preserve">iverse ethnic backgrounds and at least 35 percent of the persons employed at the facility are women or are from </w:t>
            </w:r>
            <w:r w:rsidR="00792F67">
              <w:t>such</w:t>
            </w:r>
            <w:r>
              <w:t xml:space="preserve"> backgrounds.</w:t>
            </w:r>
          </w:p>
          <w:p w14:paraId="11D1AA4C" w14:textId="301037A6" w:rsidR="00B645B6" w:rsidRDefault="005002BE" w:rsidP="006C45B6">
            <w:pPr>
              <w:pStyle w:val="Header"/>
              <w:jc w:val="both"/>
            </w:pPr>
            <w:r>
              <w:t>The bill requires t</w:t>
            </w:r>
            <w:r w:rsidRPr="00B645B6">
              <w:t xml:space="preserve">he office </w:t>
            </w:r>
            <w:r>
              <w:t>to</w:t>
            </w:r>
            <w:r w:rsidRPr="00B645B6">
              <w:t xml:space="preserve"> adopt rules prescribing the method by which the office will determine whether a production com</w:t>
            </w:r>
            <w:r w:rsidRPr="00B645B6">
              <w:t>pany meets the requirements for an add</w:t>
            </w:r>
            <w:r w:rsidR="001504EB">
              <w:t xml:space="preserve">itional grant under the latter condition. </w:t>
            </w:r>
            <w:r w:rsidR="00DF15E2">
              <w:t>A</w:t>
            </w:r>
            <w:r w:rsidRPr="00DF15E2">
              <w:t xml:space="preserve"> production company </w:t>
            </w:r>
            <w:r w:rsidR="00DF15E2">
              <w:t xml:space="preserve">is </w:t>
            </w:r>
            <w:r w:rsidRPr="00DF15E2">
              <w:t>eligible for a</w:t>
            </w:r>
            <w:r w:rsidR="00792F67" w:rsidRPr="00DF15E2">
              <w:t>n additional</w:t>
            </w:r>
            <w:r w:rsidRPr="00DF15E2">
              <w:t xml:space="preserve"> grant under each respective condition.</w:t>
            </w:r>
          </w:p>
          <w:p w14:paraId="337EE513" w14:textId="77777777" w:rsidR="00D040C5" w:rsidRDefault="00D040C5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26DDF9" w14:textId="44E41138" w:rsidR="00065B08" w:rsidRPr="009C36CD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2417 includes </w:t>
            </w:r>
            <w:r w:rsidRPr="001504EB">
              <w:t>streaming content</w:t>
            </w:r>
            <w:r>
              <w:t xml:space="preserve"> </w:t>
            </w:r>
            <w:r w:rsidR="00C2129C">
              <w:t xml:space="preserve">in </w:t>
            </w:r>
            <w:r>
              <w:t>the definition of "m</w:t>
            </w:r>
            <w:r w:rsidRPr="001504EB">
              <w:t>oving image project"</w:t>
            </w:r>
            <w:r>
              <w:t xml:space="preserve"> </w:t>
            </w:r>
            <w:r>
              <w:t xml:space="preserve">applicable to </w:t>
            </w:r>
            <w:r w:rsidRPr="001504EB">
              <w:t>the Media Production Development Zone Act</w:t>
            </w:r>
            <w:r w:rsidR="00803A98">
              <w:t>.</w:t>
            </w:r>
          </w:p>
          <w:p w14:paraId="3C1E6BA7" w14:textId="77777777" w:rsidR="008423E4" w:rsidRPr="00835628" w:rsidRDefault="008423E4" w:rsidP="006C45B6">
            <w:pPr>
              <w:rPr>
                <w:b/>
              </w:rPr>
            </w:pPr>
          </w:p>
        </w:tc>
      </w:tr>
      <w:tr w:rsidR="00157490" w14:paraId="37FDCB1E" w14:textId="77777777" w:rsidTr="00345119">
        <w:tc>
          <w:tcPr>
            <w:tcW w:w="9576" w:type="dxa"/>
          </w:tcPr>
          <w:p w14:paraId="1681FEB3" w14:textId="77777777" w:rsidR="008423E4" w:rsidRPr="00A8133F" w:rsidRDefault="005002BE" w:rsidP="006C45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14E77B" w14:textId="77777777" w:rsidR="008423E4" w:rsidRDefault="008423E4" w:rsidP="006C45B6"/>
          <w:p w14:paraId="010113FB" w14:textId="4C7252D9" w:rsidR="008423E4" w:rsidRPr="003624F2" w:rsidRDefault="005002BE" w:rsidP="006C45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6843CD" w14:textId="77777777" w:rsidR="008423E4" w:rsidRPr="00233FDB" w:rsidRDefault="008423E4" w:rsidP="006C45B6">
            <w:pPr>
              <w:rPr>
                <w:b/>
              </w:rPr>
            </w:pPr>
          </w:p>
        </w:tc>
      </w:tr>
      <w:tr w:rsidR="00157490" w14:paraId="4770F69A" w14:textId="77777777" w:rsidTr="00345119">
        <w:tc>
          <w:tcPr>
            <w:tcW w:w="9576" w:type="dxa"/>
          </w:tcPr>
          <w:p w14:paraId="1E66135B" w14:textId="77777777" w:rsidR="00FA12F4" w:rsidRDefault="005002BE" w:rsidP="006C45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219C161" w14:textId="77777777" w:rsidR="00AA7F2A" w:rsidRDefault="00AA7F2A" w:rsidP="006C45B6">
            <w:pPr>
              <w:jc w:val="both"/>
            </w:pPr>
          </w:p>
          <w:p w14:paraId="7EAC4273" w14:textId="776C64A6" w:rsidR="00AA7F2A" w:rsidRDefault="005002BE" w:rsidP="006C45B6">
            <w:pPr>
              <w:jc w:val="both"/>
            </w:pPr>
            <w:r>
              <w:t xml:space="preserve">While C.S.H.B. 2417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145E2A52" w14:textId="0448AF7D" w:rsidR="00AA47EE" w:rsidRDefault="00AA47EE" w:rsidP="006C45B6">
            <w:pPr>
              <w:jc w:val="both"/>
            </w:pPr>
          </w:p>
          <w:p w14:paraId="43B7E4DE" w14:textId="614F8A7B" w:rsidR="00866F52" w:rsidRDefault="005002BE" w:rsidP="006C45B6">
            <w:pPr>
              <w:jc w:val="both"/>
            </w:pPr>
            <w:r>
              <w:t>With respect to the bill's incentive program</w:t>
            </w:r>
            <w:r w:rsidR="007974B1">
              <w:t>, the original and substitute differ as follows</w:t>
            </w:r>
            <w:r>
              <w:t>:</w:t>
            </w:r>
          </w:p>
          <w:p w14:paraId="4321D9FF" w14:textId="41E5417E" w:rsidR="00CE7A1F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the substitute </w:t>
            </w:r>
            <w:r w:rsidR="00C2129C">
              <w:t>establishes the</w:t>
            </w:r>
            <w:r>
              <w:t xml:space="preserve"> program under </w:t>
            </w:r>
            <w:r w:rsidRPr="00CE7A1F">
              <w:t>the Media Production De</w:t>
            </w:r>
            <w:r w:rsidRPr="00CE7A1F">
              <w:t>velopment Zone Act</w:t>
            </w:r>
            <w:r w:rsidR="00C2129C">
              <w:t>,</w:t>
            </w:r>
            <w:r>
              <w:t xml:space="preserve"> whereas the original establishe</w:t>
            </w:r>
            <w:r w:rsidR="00B03C78">
              <w:t>d</w:t>
            </w:r>
            <w:r>
              <w:t xml:space="preserve"> it under provisions relating to the </w:t>
            </w:r>
            <w:r w:rsidRPr="00CE7A1F">
              <w:t>music, film, television, and multimedia industries</w:t>
            </w:r>
            <w:r>
              <w:t>;</w:t>
            </w:r>
          </w:p>
          <w:p w14:paraId="5F1E4A8B" w14:textId="061C11BB" w:rsidR="00CE7A1F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the substitute </w:t>
            </w:r>
            <w:r w:rsidR="008506B8">
              <w:t xml:space="preserve">names </w:t>
            </w:r>
            <w:r w:rsidRPr="00B03C78">
              <w:t>it</w:t>
            </w:r>
            <w:r>
              <w:t xml:space="preserve"> as </w:t>
            </w:r>
            <w:r w:rsidR="008506B8">
              <w:t>the</w:t>
            </w:r>
            <w:r>
              <w:t xml:space="preserve"> media</w:t>
            </w:r>
            <w:r w:rsidRPr="00CE7A1F">
              <w:t xml:space="preserve"> production facility incentive program</w:t>
            </w:r>
            <w:r w:rsidR="008506B8">
              <w:t>,</w:t>
            </w:r>
            <w:r>
              <w:t xml:space="preserve"> whereas the original </w:t>
            </w:r>
            <w:r w:rsidR="008506B8">
              <w:t>named</w:t>
            </w:r>
            <w:r w:rsidR="008506B8" w:rsidRPr="00B03C78">
              <w:t xml:space="preserve"> </w:t>
            </w:r>
            <w:r w:rsidRPr="00B03C78">
              <w:t>it as</w:t>
            </w:r>
            <w:r>
              <w:t xml:space="preserve"> </w:t>
            </w:r>
            <w:r w:rsidR="008506B8">
              <w:t>the</w:t>
            </w:r>
            <w:r>
              <w:t xml:space="preserve"> mo</w:t>
            </w:r>
            <w:r>
              <w:t>ving image</w:t>
            </w:r>
            <w:r w:rsidRPr="00CE7A1F">
              <w:t xml:space="preserve"> production facility incentive program</w:t>
            </w:r>
            <w:r>
              <w:t>;</w:t>
            </w:r>
          </w:p>
          <w:p w14:paraId="1BE406F8" w14:textId="67810430" w:rsidR="003F5815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the substitute </w:t>
            </w:r>
            <w:r w:rsidR="008506B8">
              <w:t xml:space="preserve">makes grants available for a media production facility, as that term is defined by the </w:t>
            </w:r>
            <w:r w:rsidR="008506B8" w:rsidRPr="00CE7A1F">
              <w:t>Media Production Development Zone Act</w:t>
            </w:r>
            <w:r w:rsidR="008506B8">
              <w:t>, whereas the original made grants available for a production facility, which the original defined as facilities and related equipment that produce films, television programs, digital interactive media, video games, or visual effects</w:t>
            </w:r>
            <w:r w:rsidR="0015346C">
              <w:t xml:space="preserve"> projects</w:t>
            </w:r>
            <w:r>
              <w:t>;</w:t>
            </w:r>
          </w:p>
          <w:p w14:paraId="6F41CA23" w14:textId="5AB7640E" w:rsidR="00AC7FCA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t</w:t>
            </w:r>
            <w:r w:rsidR="003F5815">
              <w:t xml:space="preserve">he substitute </w:t>
            </w:r>
            <w:r w:rsidR="00C2129C">
              <w:t xml:space="preserve">requires </w:t>
            </w:r>
            <w:r w:rsidR="003F5815">
              <w:t>that a</w:t>
            </w:r>
            <w:r w:rsidR="00C2129C">
              <w:t>n eligible</w:t>
            </w:r>
            <w:r w:rsidR="003F5815">
              <w:t xml:space="preserve"> production facility be constructed </w:t>
            </w:r>
            <w:r w:rsidR="003F5815" w:rsidRPr="003F5815">
              <w:t>at a qualified media production location</w:t>
            </w:r>
            <w:r w:rsidR="00C2129C">
              <w:t>,</w:t>
            </w:r>
            <w:r w:rsidR="00B54676">
              <w:t xml:space="preserve"> </w:t>
            </w:r>
            <w:r w:rsidR="003F5815">
              <w:t xml:space="preserve">whereas the original </w:t>
            </w:r>
            <w:r w:rsidR="00B54676">
              <w:t>required</w:t>
            </w:r>
            <w:r w:rsidR="003F5815">
              <w:t xml:space="preserve"> construction in Texas;</w:t>
            </w:r>
          </w:p>
          <w:p w14:paraId="683E6727" w14:textId="08B558D0" w:rsidR="004E0B94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t</w:t>
            </w:r>
            <w:r w:rsidR="003F5815">
              <w:t xml:space="preserve">he </w:t>
            </w:r>
            <w:r w:rsidR="003F5815" w:rsidRPr="0058341A">
              <w:t xml:space="preserve">substitute adds a </w:t>
            </w:r>
            <w:r w:rsidR="002F16D9">
              <w:t xml:space="preserve">grant </w:t>
            </w:r>
            <w:r w:rsidR="003F5815" w:rsidRPr="0058341A">
              <w:t xml:space="preserve">qualification not in the original </w:t>
            </w:r>
            <w:r w:rsidR="002F16D9">
              <w:t>requiring</w:t>
            </w:r>
            <w:r w:rsidR="003F5815">
              <w:t xml:space="preserve"> that a production company </w:t>
            </w:r>
            <w:r w:rsidR="003F5815" w:rsidRPr="003F5815">
              <w:t>commit to constructing a media production facility and producing moving imag</w:t>
            </w:r>
            <w:r w:rsidR="008737A1">
              <w:t>e projects for a 10-year period;</w:t>
            </w:r>
            <w:r w:rsidR="003F5815">
              <w:t xml:space="preserve"> </w:t>
            </w:r>
          </w:p>
          <w:p w14:paraId="705A6466" w14:textId="2587F36D" w:rsidR="003F5815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the substitute includes a specification not in the original that a production company is not required to reapply for a grant for each year of the 10-year period; </w:t>
            </w:r>
            <w:r w:rsidR="00AB0ABA">
              <w:t>and</w:t>
            </w:r>
          </w:p>
          <w:p w14:paraId="0103017B" w14:textId="7E52E8AC" w:rsidR="008737A1" w:rsidRDefault="005002BE" w:rsidP="006C45B6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 xml:space="preserve">with respect to the additional grant for </w:t>
            </w:r>
            <w:r w:rsidRPr="00B54676">
              <w:t>certain media production facilities</w:t>
            </w:r>
            <w:r w:rsidR="00B54676">
              <w:t xml:space="preserve"> that is based on </w:t>
            </w:r>
            <w:r w:rsidR="00113A70">
              <w:t>employment of certain persons and a focus on diverse ethnic backgrounds</w:t>
            </w:r>
            <w:r>
              <w:t>:</w:t>
            </w:r>
          </w:p>
          <w:p w14:paraId="05E5A71C" w14:textId="68CF5C25" w:rsidR="008737A1" w:rsidRDefault="005002BE" w:rsidP="006C45B6">
            <w:pPr>
              <w:pStyle w:val="ListParagraph"/>
              <w:numPr>
                <w:ilvl w:val="1"/>
                <w:numId w:val="8"/>
              </w:numPr>
              <w:contextualSpacing w:val="0"/>
              <w:jc w:val="both"/>
            </w:pPr>
            <w:r>
              <w:t>the substitute increases the grant</w:t>
            </w:r>
            <w:r w:rsidR="00113A70">
              <w:t xml:space="preserve"> amount</w:t>
            </w:r>
            <w:r>
              <w:t xml:space="preserve"> from 2.5 percent to 7.5 percent of the total amount of a</w:t>
            </w:r>
            <w:r w:rsidRPr="008737A1">
              <w:t xml:space="preserve"> </w:t>
            </w:r>
            <w:r>
              <w:t xml:space="preserve">production </w:t>
            </w:r>
            <w:r w:rsidRPr="008737A1">
              <w:t>company's in-state c</w:t>
            </w:r>
            <w:r w:rsidRPr="008737A1">
              <w:t>onstruction spending f</w:t>
            </w:r>
            <w:r>
              <w:t>or a</w:t>
            </w:r>
            <w:r w:rsidRPr="008737A1">
              <w:t xml:space="preserve"> production facility</w:t>
            </w:r>
            <w:r>
              <w:t>;</w:t>
            </w:r>
          </w:p>
          <w:p w14:paraId="3AB90E5E" w14:textId="61377F02" w:rsidR="00AB0ABA" w:rsidRDefault="005002BE" w:rsidP="006C45B6">
            <w:pPr>
              <w:pStyle w:val="ListParagraph"/>
              <w:numPr>
                <w:ilvl w:val="1"/>
                <w:numId w:val="8"/>
              </w:numPr>
              <w:contextualSpacing w:val="0"/>
              <w:jc w:val="both"/>
            </w:pPr>
            <w:r>
              <w:t>w</w:t>
            </w:r>
            <w:r w:rsidR="008737A1">
              <w:t xml:space="preserve">ith regard to the requirement that the company construct </w:t>
            </w:r>
            <w:r w:rsidR="008737A1" w:rsidRPr="008737A1">
              <w:t>the facility to produce projects with a focus on persons from diverse ethnic backgrounds</w:t>
            </w:r>
            <w:r w:rsidR="008737A1">
              <w:t xml:space="preserve">, the original </w:t>
            </w:r>
            <w:r w:rsidR="006746A9">
              <w:t xml:space="preserve">specified </w:t>
            </w:r>
            <w:r w:rsidR="008737A1">
              <w:t xml:space="preserve">that </w:t>
            </w:r>
            <w:r w:rsidR="002F16D9" w:rsidRPr="002F16D9">
              <w:t>it has to be the primary focus</w:t>
            </w:r>
            <w:r w:rsidR="008737A1">
              <w:t xml:space="preserve"> whereas the substitute does not include this specification;</w:t>
            </w:r>
            <w:r>
              <w:t xml:space="preserve"> and</w:t>
            </w:r>
          </w:p>
          <w:p w14:paraId="714C67F6" w14:textId="0BB7C6E6" w:rsidR="008737A1" w:rsidRDefault="005002BE" w:rsidP="006C45B6">
            <w:pPr>
              <w:pStyle w:val="ListParagraph"/>
              <w:numPr>
                <w:ilvl w:val="1"/>
                <w:numId w:val="8"/>
              </w:numPr>
              <w:contextualSpacing w:val="0"/>
              <w:jc w:val="both"/>
            </w:pPr>
            <w:r>
              <w:t xml:space="preserve">the substitute replaces the original's requirement </w:t>
            </w:r>
            <w:r w:rsidR="00113A70">
              <w:t xml:space="preserve">for </w:t>
            </w:r>
            <w:r w:rsidRPr="00AB0ABA">
              <w:t xml:space="preserve">at least 25 percent of the persons employed at the facility </w:t>
            </w:r>
            <w:r w:rsidR="00113A70">
              <w:t xml:space="preserve">to </w:t>
            </w:r>
            <w:r>
              <w:t>be</w:t>
            </w:r>
            <w:r w:rsidRPr="00AB0ABA">
              <w:t xml:space="preserve"> from diverse ethnic backgrounds</w:t>
            </w:r>
            <w:r>
              <w:t xml:space="preserve"> with the requirement </w:t>
            </w:r>
            <w:r w:rsidR="00113A70">
              <w:t xml:space="preserve">for </w:t>
            </w:r>
            <w:r w:rsidRPr="00AB0ABA">
              <w:t>at least 35 per</w:t>
            </w:r>
            <w:r w:rsidRPr="00AB0ABA">
              <w:t xml:space="preserve">cent of the persons employed at the facility </w:t>
            </w:r>
            <w:r w:rsidR="00113A70">
              <w:t xml:space="preserve">to </w:t>
            </w:r>
            <w:r>
              <w:t>be</w:t>
            </w:r>
            <w:r w:rsidRPr="00AB0ABA">
              <w:t xml:space="preserve"> women or </w:t>
            </w:r>
            <w:r>
              <w:t>be</w:t>
            </w:r>
            <w:r w:rsidRPr="00AB0ABA">
              <w:t xml:space="preserve"> from diverse ethnic backgrounds</w:t>
            </w:r>
            <w:r>
              <w:t>.</w:t>
            </w:r>
          </w:p>
          <w:p w14:paraId="7BC3108E" w14:textId="72287B82" w:rsidR="003F5815" w:rsidRDefault="003F5815" w:rsidP="006C45B6">
            <w:pPr>
              <w:jc w:val="both"/>
            </w:pPr>
          </w:p>
          <w:p w14:paraId="50763EB0" w14:textId="50E35075" w:rsidR="00CE7A1F" w:rsidRDefault="005002BE" w:rsidP="006C45B6">
            <w:pPr>
              <w:jc w:val="both"/>
            </w:pPr>
            <w:r>
              <w:t xml:space="preserve">The substitute </w:t>
            </w:r>
            <w:r w:rsidR="002F16D9">
              <w:t xml:space="preserve">contains </w:t>
            </w:r>
            <w:r w:rsidR="00DF15E2">
              <w:t xml:space="preserve">a provision </w:t>
            </w:r>
            <w:r>
              <w:t xml:space="preserve">not in the original </w:t>
            </w:r>
            <w:r w:rsidR="00DF15E2">
              <w:t xml:space="preserve">that </w:t>
            </w:r>
            <w:r w:rsidR="002F16D9">
              <w:t>includes</w:t>
            </w:r>
            <w:r w:rsidRPr="004B6B07">
              <w:t xml:space="preserve"> streaming content </w:t>
            </w:r>
            <w:r w:rsidR="00DF15E2">
              <w:t xml:space="preserve">in </w:t>
            </w:r>
            <w:r w:rsidRPr="004B6B07">
              <w:t xml:space="preserve">the definition of "moving image project" applicable to the Media </w:t>
            </w:r>
            <w:r w:rsidRPr="004B6B07">
              <w:t>Production Development Zone Act.</w:t>
            </w:r>
          </w:p>
          <w:p w14:paraId="7380FF7C" w14:textId="56383697" w:rsidR="00AA47EE" w:rsidRDefault="005002BE" w:rsidP="006C45B6">
            <w:pPr>
              <w:jc w:val="both"/>
            </w:pPr>
            <w:r>
              <w:t xml:space="preserve"> </w:t>
            </w:r>
          </w:p>
          <w:p w14:paraId="16687A0C" w14:textId="0120A0EA" w:rsidR="004D327B" w:rsidRDefault="005002BE" w:rsidP="006C45B6">
            <w:pPr>
              <w:jc w:val="both"/>
            </w:pPr>
            <w:r>
              <w:t xml:space="preserve">The substitute does not include the original's changes to the </w:t>
            </w:r>
            <w:r w:rsidRPr="004D327B">
              <w:t>moving image industry incentive program</w:t>
            </w:r>
            <w:r>
              <w:t>.</w:t>
            </w:r>
          </w:p>
          <w:p w14:paraId="5D459FFF" w14:textId="0AF805D2" w:rsidR="002C55DD" w:rsidRDefault="002C55DD" w:rsidP="006C45B6">
            <w:pPr>
              <w:jc w:val="both"/>
            </w:pPr>
          </w:p>
          <w:p w14:paraId="65BB9E07" w14:textId="77777777" w:rsidR="00AA47EE" w:rsidRDefault="00AA47EE" w:rsidP="006C45B6">
            <w:pPr>
              <w:jc w:val="both"/>
            </w:pPr>
          </w:p>
          <w:p w14:paraId="4D0156EF" w14:textId="684CC096" w:rsidR="00AA7F2A" w:rsidRPr="00AA7F2A" w:rsidRDefault="00AA7F2A" w:rsidP="006C45B6">
            <w:pPr>
              <w:jc w:val="both"/>
            </w:pPr>
          </w:p>
        </w:tc>
      </w:tr>
      <w:tr w:rsidR="00157490" w14:paraId="513FAC03" w14:textId="77777777" w:rsidTr="00345119">
        <w:tc>
          <w:tcPr>
            <w:tcW w:w="9576" w:type="dxa"/>
          </w:tcPr>
          <w:p w14:paraId="53B13B60" w14:textId="77777777" w:rsidR="00FA12F4" w:rsidRPr="009C1E9A" w:rsidRDefault="00FA12F4" w:rsidP="006C45B6">
            <w:pPr>
              <w:rPr>
                <w:b/>
                <w:u w:val="single"/>
              </w:rPr>
            </w:pPr>
          </w:p>
        </w:tc>
      </w:tr>
      <w:tr w:rsidR="00157490" w14:paraId="0C3B2220" w14:textId="77777777" w:rsidTr="00345119">
        <w:tc>
          <w:tcPr>
            <w:tcW w:w="9576" w:type="dxa"/>
          </w:tcPr>
          <w:p w14:paraId="12B6DCA3" w14:textId="77777777" w:rsidR="00FA12F4" w:rsidRPr="00FA12F4" w:rsidRDefault="00FA12F4" w:rsidP="006C45B6">
            <w:pPr>
              <w:jc w:val="both"/>
            </w:pPr>
          </w:p>
        </w:tc>
      </w:tr>
    </w:tbl>
    <w:p w14:paraId="5398CEFC" w14:textId="77777777" w:rsidR="008423E4" w:rsidRPr="00BE0E75" w:rsidRDefault="008423E4" w:rsidP="006C45B6">
      <w:pPr>
        <w:jc w:val="both"/>
        <w:rPr>
          <w:rFonts w:ascii="Arial" w:hAnsi="Arial"/>
          <w:sz w:val="16"/>
          <w:szCs w:val="16"/>
        </w:rPr>
      </w:pPr>
    </w:p>
    <w:p w14:paraId="28497D94" w14:textId="77777777" w:rsidR="004108C3" w:rsidRPr="008423E4" w:rsidRDefault="004108C3" w:rsidP="006C45B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34A9" w14:textId="77777777" w:rsidR="00000000" w:rsidRDefault="005002BE">
      <w:r>
        <w:separator/>
      </w:r>
    </w:p>
  </w:endnote>
  <w:endnote w:type="continuationSeparator" w:id="0">
    <w:p w14:paraId="6F262A78" w14:textId="77777777" w:rsidR="00000000" w:rsidRDefault="0050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D9B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7490" w14:paraId="3D234137" w14:textId="77777777" w:rsidTr="009C1E9A">
      <w:trPr>
        <w:cantSplit/>
      </w:trPr>
      <w:tc>
        <w:tcPr>
          <w:tcW w:w="0" w:type="pct"/>
        </w:tcPr>
        <w:p w14:paraId="40D0EA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B390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A9C07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49D0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E0EE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490" w14:paraId="6C73CAB9" w14:textId="77777777" w:rsidTr="009C1E9A">
      <w:trPr>
        <w:cantSplit/>
      </w:trPr>
      <w:tc>
        <w:tcPr>
          <w:tcW w:w="0" w:type="pct"/>
        </w:tcPr>
        <w:p w14:paraId="0C899F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C2F24E" w14:textId="77777777" w:rsidR="00EC379B" w:rsidRPr="009C1E9A" w:rsidRDefault="005002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20391</w:t>
          </w:r>
        </w:p>
      </w:tc>
      <w:tc>
        <w:tcPr>
          <w:tcW w:w="2453" w:type="pct"/>
        </w:tcPr>
        <w:p w14:paraId="4FD6547B" w14:textId="034E91C5" w:rsidR="00EC379B" w:rsidRDefault="005002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009F1">
            <w:t>21.107.666</w:t>
          </w:r>
          <w:r>
            <w:fldChar w:fldCharType="end"/>
          </w:r>
        </w:p>
      </w:tc>
    </w:tr>
    <w:tr w:rsidR="00157490" w14:paraId="14D90FCA" w14:textId="77777777" w:rsidTr="009C1E9A">
      <w:trPr>
        <w:cantSplit/>
      </w:trPr>
      <w:tc>
        <w:tcPr>
          <w:tcW w:w="0" w:type="pct"/>
        </w:tcPr>
        <w:p w14:paraId="3135057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1F22DC" w14:textId="77777777" w:rsidR="00EC379B" w:rsidRPr="009C1E9A" w:rsidRDefault="005002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19589</w:t>
          </w:r>
        </w:p>
      </w:tc>
      <w:tc>
        <w:tcPr>
          <w:tcW w:w="2453" w:type="pct"/>
        </w:tcPr>
        <w:p w14:paraId="7789251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60D5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490" w14:paraId="5CC5BA0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3F6C3B" w14:textId="23A49E9D" w:rsidR="00EC379B" w:rsidRDefault="005002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45B6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2A2807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7FC7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4B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7150" w14:textId="77777777" w:rsidR="00000000" w:rsidRDefault="005002BE">
      <w:r>
        <w:separator/>
      </w:r>
    </w:p>
  </w:footnote>
  <w:footnote w:type="continuationSeparator" w:id="0">
    <w:p w14:paraId="0CEB5137" w14:textId="77777777" w:rsidR="00000000" w:rsidRDefault="0050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70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614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AE3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B62"/>
    <w:multiLevelType w:val="hybridMultilevel"/>
    <w:tmpl w:val="2A404F08"/>
    <w:lvl w:ilvl="0" w:tplc="896ECB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9D6699A" w:tentative="1">
      <w:start w:val="1"/>
      <w:numFmt w:val="lowerLetter"/>
      <w:lvlText w:val="%2."/>
      <w:lvlJc w:val="left"/>
      <w:pPr>
        <w:ind w:left="1440" w:hanging="360"/>
      </w:pPr>
    </w:lvl>
    <w:lvl w:ilvl="2" w:tplc="AE823E64" w:tentative="1">
      <w:start w:val="1"/>
      <w:numFmt w:val="lowerRoman"/>
      <w:lvlText w:val="%3."/>
      <w:lvlJc w:val="right"/>
      <w:pPr>
        <w:ind w:left="2160" w:hanging="180"/>
      </w:pPr>
    </w:lvl>
    <w:lvl w:ilvl="3" w:tplc="E04437F2" w:tentative="1">
      <w:start w:val="1"/>
      <w:numFmt w:val="decimal"/>
      <w:lvlText w:val="%4."/>
      <w:lvlJc w:val="left"/>
      <w:pPr>
        <w:ind w:left="2880" w:hanging="360"/>
      </w:pPr>
    </w:lvl>
    <w:lvl w:ilvl="4" w:tplc="C8D4E55C" w:tentative="1">
      <w:start w:val="1"/>
      <w:numFmt w:val="lowerLetter"/>
      <w:lvlText w:val="%5."/>
      <w:lvlJc w:val="left"/>
      <w:pPr>
        <w:ind w:left="3600" w:hanging="360"/>
      </w:pPr>
    </w:lvl>
    <w:lvl w:ilvl="5" w:tplc="885A6B2C" w:tentative="1">
      <w:start w:val="1"/>
      <w:numFmt w:val="lowerRoman"/>
      <w:lvlText w:val="%6."/>
      <w:lvlJc w:val="right"/>
      <w:pPr>
        <w:ind w:left="4320" w:hanging="180"/>
      </w:pPr>
    </w:lvl>
    <w:lvl w:ilvl="6" w:tplc="19B0EE8A" w:tentative="1">
      <w:start w:val="1"/>
      <w:numFmt w:val="decimal"/>
      <w:lvlText w:val="%7."/>
      <w:lvlJc w:val="left"/>
      <w:pPr>
        <w:ind w:left="5040" w:hanging="360"/>
      </w:pPr>
    </w:lvl>
    <w:lvl w:ilvl="7" w:tplc="C6484152" w:tentative="1">
      <w:start w:val="1"/>
      <w:numFmt w:val="lowerLetter"/>
      <w:lvlText w:val="%8."/>
      <w:lvlJc w:val="left"/>
      <w:pPr>
        <w:ind w:left="5760" w:hanging="360"/>
      </w:pPr>
    </w:lvl>
    <w:lvl w:ilvl="8" w:tplc="38188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45AB"/>
    <w:multiLevelType w:val="hybridMultilevel"/>
    <w:tmpl w:val="0966DB6A"/>
    <w:lvl w:ilvl="0" w:tplc="93F2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A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A3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7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EB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43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2B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7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A9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259"/>
    <w:multiLevelType w:val="hybridMultilevel"/>
    <w:tmpl w:val="7B3896C4"/>
    <w:lvl w:ilvl="0" w:tplc="ABB6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D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6D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5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6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85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A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0B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01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2A8"/>
    <w:multiLevelType w:val="hybridMultilevel"/>
    <w:tmpl w:val="82D472D8"/>
    <w:lvl w:ilvl="0" w:tplc="486CDEA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48E022C6" w:tentative="1">
      <w:start w:val="1"/>
      <w:numFmt w:val="lowerLetter"/>
      <w:lvlText w:val="%2."/>
      <w:lvlJc w:val="left"/>
      <w:pPr>
        <w:ind w:left="1440" w:hanging="360"/>
      </w:pPr>
    </w:lvl>
    <w:lvl w:ilvl="2" w:tplc="6740724C" w:tentative="1">
      <w:start w:val="1"/>
      <w:numFmt w:val="lowerRoman"/>
      <w:lvlText w:val="%3."/>
      <w:lvlJc w:val="right"/>
      <w:pPr>
        <w:ind w:left="2160" w:hanging="180"/>
      </w:pPr>
    </w:lvl>
    <w:lvl w:ilvl="3" w:tplc="3B94F174" w:tentative="1">
      <w:start w:val="1"/>
      <w:numFmt w:val="decimal"/>
      <w:lvlText w:val="%4."/>
      <w:lvlJc w:val="left"/>
      <w:pPr>
        <w:ind w:left="2880" w:hanging="360"/>
      </w:pPr>
    </w:lvl>
    <w:lvl w:ilvl="4" w:tplc="A8369A60" w:tentative="1">
      <w:start w:val="1"/>
      <w:numFmt w:val="lowerLetter"/>
      <w:lvlText w:val="%5."/>
      <w:lvlJc w:val="left"/>
      <w:pPr>
        <w:ind w:left="3600" w:hanging="360"/>
      </w:pPr>
    </w:lvl>
    <w:lvl w:ilvl="5" w:tplc="B9A6BFB4" w:tentative="1">
      <w:start w:val="1"/>
      <w:numFmt w:val="lowerRoman"/>
      <w:lvlText w:val="%6."/>
      <w:lvlJc w:val="right"/>
      <w:pPr>
        <w:ind w:left="4320" w:hanging="180"/>
      </w:pPr>
    </w:lvl>
    <w:lvl w:ilvl="6" w:tplc="07884DC0" w:tentative="1">
      <w:start w:val="1"/>
      <w:numFmt w:val="decimal"/>
      <w:lvlText w:val="%7."/>
      <w:lvlJc w:val="left"/>
      <w:pPr>
        <w:ind w:left="5040" w:hanging="360"/>
      </w:pPr>
    </w:lvl>
    <w:lvl w:ilvl="7" w:tplc="384C4EA6" w:tentative="1">
      <w:start w:val="1"/>
      <w:numFmt w:val="lowerLetter"/>
      <w:lvlText w:val="%8."/>
      <w:lvlJc w:val="left"/>
      <w:pPr>
        <w:ind w:left="5760" w:hanging="360"/>
      </w:pPr>
    </w:lvl>
    <w:lvl w:ilvl="8" w:tplc="C30E9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5C5"/>
    <w:multiLevelType w:val="hybridMultilevel"/>
    <w:tmpl w:val="CB44ACD6"/>
    <w:lvl w:ilvl="0" w:tplc="65AE4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1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4F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4B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C2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6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E9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86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6E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683E"/>
    <w:multiLevelType w:val="hybridMultilevel"/>
    <w:tmpl w:val="D230F116"/>
    <w:lvl w:ilvl="0" w:tplc="31A4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2B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A3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43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07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F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05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C8F"/>
    <w:multiLevelType w:val="hybridMultilevel"/>
    <w:tmpl w:val="EBEC4EE0"/>
    <w:lvl w:ilvl="0" w:tplc="5C546D30">
      <w:start w:val="1"/>
      <w:numFmt w:val="upperLetter"/>
      <w:lvlText w:val="(%1)"/>
      <w:lvlJc w:val="left"/>
      <w:pPr>
        <w:ind w:left="803" w:hanging="443"/>
      </w:pPr>
      <w:rPr>
        <w:rFonts w:hint="default"/>
      </w:rPr>
    </w:lvl>
    <w:lvl w:ilvl="1" w:tplc="4F8E860E" w:tentative="1">
      <w:start w:val="1"/>
      <w:numFmt w:val="lowerLetter"/>
      <w:lvlText w:val="%2."/>
      <w:lvlJc w:val="left"/>
      <w:pPr>
        <w:ind w:left="1440" w:hanging="360"/>
      </w:pPr>
    </w:lvl>
    <w:lvl w:ilvl="2" w:tplc="51A2379E" w:tentative="1">
      <w:start w:val="1"/>
      <w:numFmt w:val="lowerRoman"/>
      <w:lvlText w:val="%3."/>
      <w:lvlJc w:val="right"/>
      <w:pPr>
        <w:ind w:left="2160" w:hanging="180"/>
      </w:pPr>
    </w:lvl>
    <w:lvl w:ilvl="3" w:tplc="0196439C" w:tentative="1">
      <w:start w:val="1"/>
      <w:numFmt w:val="decimal"/>
      <w:lvlText w:val="%4."/>
      <w:lvlJc w:val="left"/>
      <w:pPr>
        <w:ind w:left="2880" w:hanging="360"/>
      </w:pPr>
    </w:lvl>
    <w:lvl w:ilvl="4" w:tplc="1A1880D0" w:tentative="1">
      <w:start w:val="1"/>
      <w:numFmt w:val="lowerLetter"/>
      <w:lvlText w:val="%5."/>
      <w:lvlJc w:val="left"/>
      <w:pPr>
        <w:ind w:left="3600" w:hanging="360"/>
      </w:pPr>
    </w:lvl>
    <w:lvl w:ilvl="5" w:tplc="300CC1D0" w:tentative="1">
      <w:start w:val="1"/>
      <w:numFmt w:val="lowerRoman"/>
      <w:lvlText w:val="%6."/>
      <w:lvlJc w:val="right"/>
      <w:pPr>
        <w:ind w:left="4320" w:hanging="180"/>
      </w:pPr>
    </w:lvl>
    <w:lvl w:ilvl="6" w:tplc="D35C11C8" w:tentative="1">
      <w:start w:val="1"/>
      <w:numFmt w:val="decimal"/>
      <w:lvlText w:val="%7."/>
      <w:lvlJc w:val="left"/>
      <w:pPr>
        <w:ind w:left="5040" w:hanging="360"/>
      </w:pPr>
    </w:lvl>
    <w:lvl w:ilvl="7" w:tplc="7D1C21A8" w:tentative="1">
      <w:start w:val="1"/>
      <w:numFmt w:val="lowerLetter"/>
      <w:lvlText w:val="%8."/>
      <w:lvlJc w:val="left"/>
      <w:pPr>
        <w:ind w:left="5760" w:hanging="360"/>
      </w:pPr>
    </w:lvl>
    <w:lvl w:ilvl="8" w:tplc="AF305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21BA5"/>
    <w:multiLevelType w:val="hybridMultilevel"/>
    <w:tmpl w:val="99AAA2B8"/>
    <w:lvl w:ilvl="0" w:tplc="1D86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D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C5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3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D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25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5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D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AB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4"/>
    <w:rsid w:val="00000A70"/>
    <w:rsid w:val="000032B8"/>
    <w:rsid w:val="00003B06"/>
    <w:rsid w:val="000054B9"/>
    <w:rsid w:val="00007461"/>
    <w:rsid w:val="0000795F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B08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6B9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A70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A50"/>
    <w:rsid w:val="00147530"/>
    <w:rsid w:val="001504EB"/>
    <w:rsid w:val="0015331F"/>
    <w:rsid w:val="0015346C"/>
    <w:rsid w:val="00156AB2"/>
    <w:rsid w:val="00157490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7E4"/>
    <w:rsid w:val="001D2A01"/>
    <w:rsid w:val="001D2EF6"/>
    <w:rsid w:val="001D37A8"/>
    <w:rsid w:val="001D462E"/>
    <w:rsid w:val="001E2CAD"/>
    <w:rsid w:val="001E34DB"/>
    <w:rsid w:val="001E37CD"/>
    <w:rsid w:val="001E4070"/>
    <w:rsid w:val="001E5027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5DD"/>
    <w:rsid w:val="002C5713"/>
    <w:rsid w:val="002D05CC"/>
    <w:rsid w:val="002D305A"/>
    <w:rsid w:val="002D452F"/>
    <w:rsid w:val="002E21B8"/>
    <w:rsid w:val="002E7DF9"/>
    <w:rsid w:val="002F097B"/>
    <w:rsid w:val="002F16D9"/>
    <w:rsid w:val="002F3111"/>
    <w:rsid w:val="002F4AEC"/>
    <w:rsid w:val="002F795D"/>
    <w:rsid w:val="00300823"/>
    <w:rsid w:val="00300D7F"/>
    <w:rsid w:val="00301128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976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815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A64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3D3"/>
    <w:rsid w:val="004B20C1"/>
    <w:rsid w:val="004B412A"/>
    <w:rsid w:val="004B576C"/>
    <w:rsid w:val="004B6B07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27B"/>
    <w:rsid w:val="004D3F41"/>
    <w:rsid w:val="004D5098"/>
    <w:rsid w:val="004D6497"/>
    <w:rsid w:val="004E0B94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2BE"/>
    <w:rsid w:val="005017AC"/>
    <w:rsid w:val="00501E8A"/>
    <w:rsid w:val="00505121"/>
    <w:rsid w:val="00505C04"/>
    <w:rsid w:val="00505F1B"/>
    <w:rsid w:val="005073E8"/>
    <w:rsid w:val="00510503"/>
    <w:rsid w:val="005118AA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6963"/>
    <w:rsid w:val="00551CA6"/>
    <w:rsid w:val="00555034"/>
    <w:rsid w:val="005570D2"/>
    <w:rsid w:val="0056153F"/>
    <w:rsid w:val="00561B14"/>
    <w:rsid w:val="00562C87"/>
    <w:rsid w:val="005636BD"/>
    <w:rsid w:val="00565940"/>
    <w:rsid w:val="005666D5"/>
    <w:rsid w:val="005669A7"/>
    <w:rsid w:val="00567EFC"/>
    <w:rsid w:val="00573401"/>
    <w:rsid w:val="00576714"/>
    <w:rsid w:val="0057685A"/>
    <w:rsid w:val="0058341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619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6A9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9DC"/>
    <w:rsid w:val="00695B9A"/>
    <w:rsid w:val="00696563"/>
    <w:rsid w:val="00696F90"/>
    <w:rsid w:val="00696FB6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5B6"/>
    <w:rsid w:val="006C4709"/>
    <w:rsid w:val="006C5CE0"/>
    <w:rsid w:val="006D3005"/>
    <w:rsid w:val="006D504F"/>
    <w:rsid w:val="006D5C7E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2D95"/>
    <w:rsid w:val="00755C7B"/>
    <w:rsid w:val="00764786"/>
    <w:rsid w:val="00766E12"/>
    <w:rsid w:val="0077098E"/>
    <w:rsid w:val="00771287"/>
    <w:rsid w:val="0077149E"/>
    <w:rsid w:val="00777518"/>
    <w:rsid w:val="0077779E"/>
    <w:rsid w:val="00777838"/>
    <w:rsid w:val="00780FB6"/>
    <w:rsid w:val="0078552A"/>
    <w:rsid w:val="00785729"/>
    <w:rsid w:val="00786058"/>
    <w:rsid w:val="00792F67"/>
    <w:rsid w:val="0079487D"/>
    <w:rsid w:val="00795435"/>
    <w:rsid w:val="007966D4"/>
    <w:rsid w:val="00796A0A"/>
    <w:rsid w:val="007974B1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9A5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A98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6B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52"/>
    <w:rsid w:val="00866F9D"/>
    <w:rsid w:val="008673D9"/>
    <w:rsid w:val="00871775"/>
    <w:rsid w:val="00871AEF"/>
    <w:rsid w:val="008726E5"/>
    <w:rsid w:val="0087289E"/>
    <w:rsid w:val="008737A1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E74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EA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AB9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1D7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D20"/>
    <w:rsid w:val="00A803CF"/>
    <w:rsid w:val="00A80B2D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7EE"/>
    <w:rsid w:val="00AA597A"/>
    <w:rsid w:val="00AA7E52"/>
    <w:rsid w:val="00AA7F2A"/>
    <w:rsid w:val="00AB0ABA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FCA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C7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676"/>
    <w:rsid w:val="00B564BF"/>
    <w:rsid w:val="00B6104E"/>
    <w:rsid w:val="00B610C7"/>
    <w:rsid w:val="00B62106"/>
    <w:rsid w:val="00B626A8"/>
    <w:rsid w:val="00B645B6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A93"/>
    <w:rsid w:val="00C119AC"/>
    <w:rsid w:val="00C14EE6"/>
    <w:rsid w:val="00C151DA"/>
    <w:rsid w:val="00C152A1"/>
    <w:rsid w:val="00C16CCB"/>
    <w:rsid w:val="00C2129C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235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A1F"/>
    <w:rsid w:val="00CF4827"/>
    <w:rsid w:val="00CF4C69"/>
    <w:rsid w:val="00CF581C"/>
    <w:rsid w:val="00CF71E0"/>
    <w:rsid w:val="00D001B1"/>
    <w:rsid w:val="00D009F1"/>
    <w:rsid w:val="00D03176"/>
    <w:rsid w:val="00D040C5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D70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839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CD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5E2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467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4F8"/>
    <w:rsid w:val="00EA658E"/>
    <w:rsid w:val="00EA7A88"/>
    <w:rsid w:val="00EB27F2"/>
    <w:rsid w:val="00EB3928"/>
    <w:rsid w:val="00EB5373"/>
    <w:rsid w:val="00EB7474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337"/>
    <w:rsid w:val="00F733A4"/>
    <w:rsid w:val="00F7758F"/>
    <w:rsid w:val="00F82811"/>
    <w:rsid w:val="00F84153"/>
    <w:rsid w:val="00F85661"/>
    <w:rsid w:val="00F93B26"/>
    <w:rsid w:val="00F96602"/>
    <w:rsid w:val="00F9735A"/>
    <w:rsid w:val="00FA12F4"/>
    <w:rsid w:val="00FA32FC"/>
    <w:rsid w:val="00FA59FD"/>
    <w:rsid w:val="00FA5D8C"/>
    <w:rsid w:val="00FA618D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CCFA01-8A8A-4E42-8A75-F319139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6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A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6A50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AB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A64F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0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6722</Characters>
  <Application>Microsoft Office Word</Application>
  <DocSecurity>4</DocSecurity>
  <Lines>146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HB02417 (Committee Report (Substituted))</vt:lpstr>
    </vt:vector>
  </TitlesOfParts>
  <Company>State of Texas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20391</dc:subject>
  <dc:creator>State of Texas</dc:creator>
  <dc:description>HB 2417 by Gervin-Hawkins-(H)Culture, Recreation &amp; Tourism (Substitute Document Number: 87R 19589)</dc:description>
  <cp:lastModifiedBy>Emma Bodisch</cp:lastModifiedBy>
  <cp:revision>2</cp:revision>
  <cp:lastPrinted>2003-11-26T17:21:00Z</cp:lastPrinted>
  <dcterms:created xsi:type="dcterms:W3CDTF">2021-04-20T23:18:00Z</dcterms:created>
  <dcterms:modified xsi:type="dcterms:W3CDTF">2021-04-20T23:18:00Z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21.107.666</vt:lpwstr>
  </property>
</Properties>
</file>