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7C" w:rsidRDefault="002F6C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B28DDF6DA64C3582FBA634A555E474"/>
          </w:placeholder>
        </w:sdtPr>
        <w:sdtContent>
          <w:r w:rsidRPr="005C2A78">
            <w:rPr>
              <w:rFonts w:cs="Times New Roman"/>
              <w:b/>
              <w:szCs w:val="24"/>
              <w:u w:val="single"/>
            </w:rPr>
            <w:t>BILL ANALYSIS</w:t>
          </w:r>
        </w:sdtContent>
      </w:sdt>
    </w:p>
    <w:p w:rsidR="002F6C7C" w:rsidRPr="00585C31" w:rsidRDefault="002F6C7C" w:rsidP="000F1DF9">
      <w:pPr>
        <w:spacing w:after="0" w:line="240" w:lineRule="auto"/>
        <w:rPr>
          <w:rFonts w:cs="Times New Roman"/>
          <w:szCs w:val="24"/>
        </w:rPr>
      </w:pPr>
    </w:p>
    <w:p w:rsidR="002F6C7C" w:rsidRPr="00585C31" w:rsidRDefault="002F6C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6C7C" w:rsidTr="000F1DF9">
        <w:tc>
          <w:tcPr>
            <w:tcW w:w="2718" w:type="dxa"/>
          </w:tcPr>
          <w:p w:rsidR="002F6C7C" w:rsidRPr="005C2A78" w:rsidRDefault="002F6C7C" w:rsidP="006D756B">
            <w:pPr>
              <w:rPr>
                <w:rFonts w:cs="Times New Roman"/>
                <w:szCs w:val="24"/>
              </w:rPr>
            </w:pPr>
            <w:sdt>
              <w:sdtPr>
                <w:rPr>
                  <w:rFonts w:cs="Times New Roman"/>
                  <w:szCs w:val="24"/>
                </w:rPr>
                <w:alias w:val="Agency Title"/>
                <w:tag w:val="AgencyTitleContentControl"/>
                <w:id w:val="1920747753"/>
                <w:lock w:val="sdtContentLocked"/>
                <w:placeholder>
                  <w:docPart w:val="C373A01005EE46E0A2691E1A9E54E75A"/>
                </w:placeholder>
              </w:sdtPr>
              <w:sdtEndPr>
                <w:rPr>
                  <w:rFonts w:cstheme="minorBidi"/>
                  <w:szCs w:val="22"/>
                </w:rPr>
              </w:sdtEndPr>
              <w:sdtContent>
                <w:r>
                  <w:rPr>
                    <w:rFonts w:cs="Times New Roman"/>
                    <w:szCs w:val="24"/>
                  </w:rPr>
                  <w:t>Senate Research Center</w:t>
                </w:r>
              </w:sdtContent>
            </w:sdt>
          </w:p>
        </w:tc>
        <w:tc>
          <w:tcPr>
            <w:tcW w:w="6858" w:type="dxa"/>
          </w:tcPr>
          <w:p w:rsidR="002F6C7C" w:rsidRPr="00FF6471" w:rsidRDefault="002F6C7C" w:rsidP="000F1DF9">
            <w:pPr>
              <w:jc w:val="right"/>
              <w:rPr>
                <w:rFonts w:cs="Times New Roman"/>
                <w:szCs w:val="24"/>
              </w:rPr>
            </w:pPr>
            <w:sdt>
              <w:sdtPr>
                <w:rPr>
                  <w:rFonts w:cs="Times New Roman"/>
                  <w:szCs w:val="24"/>
                </w:rPr>
                <w:alias w:val="Bill Number"/>
                <w:tag w:val="BillNumberOne"/>
                <w:id w:val="-410784069"/>
                <w:lock w:val="sdtContentLocked"/>
                <w:placeholder>
                  <w:docPart w:val="E6F608DF10BD43408C954BC6F92FABC5"/>
                </w:placeholder>
              </w:sdtPr>
              <w:sdtContent>
                <w:r>
                  <w:rPr>
                    <w:rFonts w:cs="Times New Roman"/>
                    <w:szCs w:val="24"/>
                  </w:rPr>
                  <w:t>C.S.H.B. 2462</w:t>
                </w:r>
              </w:sdtContent>
            </w:sdt>
          </w:p>
        </w:tc>
      </w:tr>
      <w:tr w:rsidR="002F6C7C" w:rsidTr="000F1DF9">
        <w:sdt>
          <w:sdtPr>
            <w:rPr>
              <w:rFonts w:cs="Times New Roman"/>
              <w:szCs w:val="24"/>
            </w:rPr>
            <w:alias w:val="TLCNumber"/>
            <w:tag w:val="TLCNumber"/>
            <w:id w:val="-542600604"/>
            <w:lock w:val="sdtLocked"/>
            <w:placeholder>
              <w:docPart w:val="761BE37C5BC64E98A5BCB19F6DAA3D51"/>
            </w:placeholder>
          </w:sdtPr>
          <w:sdtContent>
            <w:tc>
              <w:tcPr>
                <w:tcW w:w="2718" w:type="dxa"/>
              </w:tcPr>
              <w:p w:rsidR="002F6C7C" w:rsidRPr="000F1DF9" w:rsidRDefault="002F6C7C" w:rsidP="00C65088">
                <w:pPr>
                  <w:rPr>
                    <w:rFonts w:cs="Times New Roman"/>
                    <w:szCs w:val="24"/>
                  </w:rPr>
                </w:pPr>
                <w:r>
                  <w:rPr>
                    <w:rFonts w:cs="Times New Roman"/>
                    <w:szCs w:val="24"/>
                  </w:rPr>
                  <w:t>87R24459 AJZ-D</w:t>
                </w:r>
              </w:p>
            </w:tc>
          </w:sdtContent>
        </w:sdt>
        <w:tc>
          <w:tcPr>
            <w:tcW w:w="6858" w:type="dxa"/>
          </w:tcPr>
          <w:p w:rsidR="002F6C7C" w:rsidRPr="005C2A78" w:rsidRDefault="002F6C7C" w:rsidP="00073EDD">
            <w:pPr>
              <w:jc w:val="right"/>
              <w:rPr>
                <w:rFonts w:cs="Times New Roman"/>
                <w:szCs w:val="24"/>
              </w:rPr>
            </w:pPr>
            <w:sdt>
              <w:sdtPr>
                <w:rPr>
                  <w:rFonts w:cs="Times New Roman"/>
                  <w:szCs w:val="24"/>
                </w:rPr>
                <w:alias w:val="Author Label"/>
                <w:tag w:val="By"/>
                <w:id w:val="72399597"/>
                <w:lock w:val="sdtLocked"/>
                <w:placeholder>
                  <w:docPart w:val="128422D940B34404B33545337262B2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C5875A24DB499C8446ED306C22927F"/>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CC28C109366F4F5FB0707B8FE61FE62F"/>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9E3AAE35916843B9A5529AA9C35F897D"/>
                </w:placeholder>
                <w:showingPlcHdr/>
              </w:sdtPr>
              <w:sdtContent/>
            </w:sdt>
          </w:p>
        </w:tc>
      </w:tr>
      <w:tr w:rsidR="002F6C7C" w:rsidTr="000F1DF9">
        <w:tc>
          <w:tcPr>
            <w:tcW w:w="2718" w:type="dxa"/>
          </w:tcPr>
          <w:p w:rsidR="002F6C7C" w:rsidRPr="00BC7495" w:rsidRDefault="002F6C7C" w:rsidP="000F1DF9">
            <w:pPr>
              <w:rPr>
                <w:rFonts w:cs="Times New Roman"/>
                <w:szCs w:val="24"/>
              </w:rPr>
            </w:pPr>
          </w:p>
        </w:tc>
        <w:sdt>
          <w:sdtPr>
            <w:rPr>
              <w:rFonts w:cs="Times New Roman"/>
              <w:szCs w:val="24"/>
            </w:rPr>
            <w:alias w:val="Committee"/>
            <w:tag w:val="Committee"/>
            <w:id w:val="1914272295"/>
            <w:lock w:val="sdtContentLocked"/>
            <w:placeholder>
              <w:docPart w:val="DF9230D4B35947ECAB734454ED76CF77"/>
            </w:placeholder>
          </w:sdtPr>
          <w:sdtContent>
            <w:tc>
              <w:tcPr>
                <w:tcW w:w="6858" w:type="dxa"/>
              </w:tcPr>
              <w:p w:rsidR="002F6C7C" w:rsidRPr="00FF6471" w:rsidRDefault="002F6C7C" w:rsidP="000F1DF9">
                <w:pPr>
                  <w:jc w:val="right"/>
                  <w:rPr>
                    <w:rFonts w:cs="Times New Roman"/>
                    <w:szCs w:val="24"/>
                  </w:rPr>
                </w:pPr>
                <w:r>
                  <w:rPr>
                    <w:rFonts w:cs="Times New Roman"/>
                    <w:szCs w:val="24"/>
                  </w:rPr>
                  <w:t>Criminal Justice</w:t>
                </w:r>
              </w:p>
            </w:tc>
          </w:sdtContent>
        </w:sdt>
      </w:tr>
      <w:tr w:rsidR="002F6C7C" w:rsidTr="000F1DF9">
        <w:tc>
          <w:tcPr>
            <w:tcW w:w="2718" w:type="dxa"/>
          </w:tcPr>
          <w:p w:rsidR="002F6C7C" w:rsidRPr="00BC7495" w:rsidRDefault="002F6C7C" w:rsidP="000F1DF9">
            <w:pPr>
              <w:rPr>
                <w:rFonts w:cs="Times New Roman"/>
                <w:szCs w:val="24"/>
              </w:rPr>
            </w:pPr>
          </w:p>
        </w:tc>
        <w:sdt>
          <w:sdtPr>
            <w:rPr>
              <w:rFonts w:cs="Times New Roman"/>
              <w:szCs w:val="24"/>
            </w:rPr>
            <w:alias w:val="Date"/>
            <w:tag w:val="DateContentControl"/>
            <w:id w:val="1178081906"/>
            <w:lock w:val="sdtLocked"/>
            <w:placeholder>
              <w:docPart w:val="1B6F373E06914F1098B29E914906E686"/>
            </w:placeholder>
            <w:date w:fullDate="2021-05-19T00:00:00Z">
              <w:dateFormat w:val="M/d/yyyy"/>
              <w:lid w:val="en-US"/>
              <w:storeMappedDataAs w:val="dateTime"/>
              <w:calendar w:val="gregorian"/>
            </w:date>
          </w:sdtPr>
          <w:sdtContent>
            <w:tc>
              <w:tcPr>
                <w:tcW w:w="6858" w:type="dxa"/>
              </w:tcPr>
              <w:p w:rsidR="002F6C7C" w:rsidRPr="00FF6471" w:rsidRDefault="002F6C7C" w:rsidP="000F1DF9">
                <w:pPr>
                  <w:jc w:val="right"/>
                  <w:rPr>
                    <w:rFonts w:cs="Times New Roman"/>
                    <w:szCs w:val="24"/>
                  </w:rPr>
                </w:pPr>
                <w:r>
                  <w:rPr>
                    <w:rFonts w:cs="Times New Roman"/>
                    <w:szCs w:val="24"/>
                  </w:rPr>
                  <w:t>5/19/2021</w:t>
                </w:r>
              </w:p>
            </w:tc>
          </w:sdtContent>
        </w:sdt>
      </w:tr>
      <w:tr w:rsidR="002F6C7C" w:rsidTr="000F1DF9">
        <w:tc>
          <w:tcPr>
            <w:tcW w:w="2718" w:type="dxa"/>
          </w:tcPr>
          <w:p w:rsidR="002F6C7C" w:rsidRPr="00BC7495" w:rsidRDefault="002F6C7C" w:rsidP="000F1DF9">
            <w:pPr>
              <w:rPr>
                <w:rFonts w:cs="Times New Roman"/>
                <w:szCs w:val="24"/>
              </w:rPr>
            </w:pPr>
          </w:p>
        </w:tc>
        <w:sdt>
          <w:sdtPr>
            <w:rPr>
              <w:rFonts w:cs="Times New Roman"/>
              <w:szCs w:val="24"/>
            </w:rPr>
            <w:alias w:val="BA Version"/>
            <w:tag w:val="BAVersion"/>
            <w:id w:val="-1685590809"/>
            <w:lock w:val="sdtContentLocked"/>
            <w:placeholder>
              <w:docPart w:val="66537D6846344646A0DCCBE546A674EB"/>
            </w:placeholder>
          </w:sdtPr>
          <w:sdtContent>
            <w:tc>
              <w:tcPr>
                <w:tcW w:w="6858" w:type="dxa"/>
              </w:tcPr>
              <w:p w:rsidR="002F6C7C" w:rsidRPr="00FF6471" w:rsidRDefault="002F6C7C" w:rsidP="000F1DF9">
                <w:pPr>
                  <w:jc w:val="right"/>
                  <w:rPr>
                    <w:rFonts w:cs="Times New Roman"/>
                    <w:szCs w:val="24"/>
                  </w:rPr>
                </w:pPr>
                <w:r>
                  <w:rPr>
                    <w:rFonts w:cs="Times New Roman"/>
                    <w:szCs w:val="24"/>
                  </w:rPr>
                  <w:t>Committee Report (Substituted)</w:t>
                </w:r>
              </w:p>
            </w:tc>
          </w:sdtContent>
        </w:sdt>
      </w:tr>
    </w:tbl>
    <w:p w:rsidR="002F6C7C" w:rsidRPr="00FF6471" w:rsidRDefault="002F6C7C" w:rsidP="000F1DF9">
      <w:pPr>
        <w:spacing w:after="0" w:line="240" w:lineRule="auto"/>
        <w:rPr>
          <w:rFonts w:cs="Times New Roman"/>
          <w:szCs w:val="24"/>
        </w:rPr>
      </w:pPr>
    </w:p>
    <w:p w:rsidR="002F6C7C" w:rsidRPr="00FF6471" w:rsidRDefault="002F6C7C" w:rsidP="000F1DF9">
      <w:pPr>
        <w:spacing w:after="0" w:line="240" w:lineRule="auto"/>
        <w:rPr>
          <w:rFonts w:cs="Times New Roman"/>
          <w:szCs w:val="24"/>
        </w:rPr>
      </w:pPr>
    </w:p>
    <w:p w:rsidR="002F6C7C" w:rsidRPr="00FF6471" w:rsidRDefault="002F6C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C6FA1E26F541AE8E6C1D5E8AC52555"/>
        </w:placeholder>
      </w:sdtPr>
      <w:sdtContent>
        <w:p w:rsidR="002F6C7C" w:rsidRDefault="002F6C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4CA2475B3541718901F16595C270B2"/>
        </w:placeholder>
      </w:sdtPr>
      <w:sdtContent>
        <w:p w:rsidR="002F6C7C" w:rsidRDefault="002F6C7C" w:rsidP="0026492B">
          <w:pPr>
            <w:pStyle w:val="NormalWeb"/>
            <w:spacing w:before="0" w:beforeAutospacing="0" w:after="0" w:afterAutospacing="0"/>
            <w:jc w:val="both"/>
            <w:divId w:val="2039701859"/>
            <w:rPr>
              <w:rFonts w:eastAsia="Times New Roman"/>
              <w:bCs/>
            </w:rPr>
          </w:pPr>
        </w:p>
        <w:p w:rsidR="002F6C7C" w:rsidRPr="0026492B" w:rsidRDefault="002F6C7C" w:rsidP="0026492B">
          <w:pPr>
            <w:pStyle w:val="NormalWeb"/>
            <w:spacing w:before="0" w:beforeAutospacing="0" w:after="0" w:afterAutospacing="0"/>
            <w:jc w:val="both"/>
            <w:divId w:val="2039701859"/>
          </w:pPr>
          <w:r w:rsidRPr="0026492B">
            <w:t>In 2019, the Texas Legislature passed H.B. 8, the Lavinia Masters Act, an omnibus bill relating to the criminal statute of limitations for certain sex offenses that, in part, addressed the collection and analysis of sexual assault evidence and the backlog of thousands of untested rape kits. However, there remain concerns that a person reporting a sexual assault may be denied a forensic medical examination for collecting evidence for a sexual assault case under certain circumstances, including the limited time frame within which the alleged assault must be reported. The governor's Sexual Assault Survivors' Task Force has evaluated existing practices around how sexual violence is addressed in Texas and developed recommendations to further improve forensic medical examinations. H.B. 2462 seeks to address this issue and the recommendations by removing a law enforcement agency's authority to decline to request a forensic examination of the victim of a sexual assault that is reported within 120 hours following the assault due to certain circumstances and by changing the circumstances under which a law enforcement agency may request such an examination.</w:t>
          </w:r>
        </w:p>
        <w:p w:rsidR="002F6C7C" w:rsidRPr="00D70925" w:rsidRDefault="002F6C7C" w:rsidP="0026492B">
          <w:pPr>
            <w:spacing w:after="0" w:line="240" w:lineRule="auto"/>
            <w:jc w:val="both"/>
            <w:rPr>
              <w:rFonts w:eastAsia="Times New Roman" w:cs="Times New Roman"/>
              <w:bCs/>
              <w:szCs w:val="24"/>
            </w:rPr>
          </w:pPr>
        </w:p>
      </w:sdtContent>
    </w:sdt>
    <w:p w:rsidR="002F6C7C" w:rsidRDefault="002F6C7C" w:rsidP="000F1DF9">
      <w:pPr>
        <w:spacing w:after="0" w:line="240" w:lineRule="auto"/>
        <w:jc w:val="both"/>
        <w:rPr>
          <w:rFonts w:cs="Times New Roman"/>
          <w:szCs w:val="24"/>
        </w:rPr>
      </w:pPr>
      <w:bookmarkStart w:id="0" w:name="EnrolledProposed"/>
      <w:bookmarkEnd w:id="0"/>
      <w:r>
        <w:t>(Original Author's / Sponsor's Statement of Intent)</w:t>
      </w:r>
    </w:p>
    <w:p w:rsidR="002F6C7C" w:rsidRDefault="002F6C7C" w:rsidP="000F1DF9">
      <w:pPr>
        <w:spacing w:after="0" w:line="240" w:lineRule="auto"/>
        <w:jc w:val="both"/>
        <w:rPr>
          <w:rFonts w:cs="Times New Roman"/>
          <w:szCs w:val="24"/>
        </w:rPr>
      </w:pPr>
    </w:p>
    <w:p w:rsidR="002F6C7C" w:rsidRDefault="002F6C7C" w:rsidP="000F1DF9">
      <w:pPr>
        <w:spacing w:after="0" w:line="240" w:lineRule="auto"/>
        <w:jc w:val="both"/>
        <w:rPr>
          <w:rFonts w:eastAsia="Times New Roman" w:cs="Times New Roman"/>
          <w:b/>
          <w:szCs w:val="24"/>
          <w:u w:val="single"/>
        </w:rPr>
      </w:pPr>
      <w:r>
        <w:rPr>
          <w:rFonts w:cs="Times New Roman"/>
          <w:szCs w:val="24"/>
        </w:rPr>
        <w:t xml:space="preserve">C.S.H.B. 2462 </w:t>
      </w:r>
      <w:bookmarkStart w:id="1" w:name="AmendsCurrentLaw"/>
      <w:bookmarkEnd w:id="1"/>
      <w:r>
        <w:rPr>
          <w:rFonts w:cs="Times New Roman"/>
          <w:szCs w:val="24"/>
        </w:rPr>
        <w:t xml:space="preserve">amends current law </w:t>
      </w:r>
      <w:r>
        <w:t>relating to the reporting of a sexual assault and to the collection and submission of evidence with respect to that offense.</w:t>
      </w:r>
    </w:p>
    <w:p w:rsidR="002F6C7C" w:rsidRPr="0026492B" w:rsidRDefault="002F6C7C" w:rsidP="000F1DF9">
      <w:pPr>
        <w:spacing w:after="0" w:line="240" w:lineRule="auto"/>
        <w:jc w:val="both"/>
        <w:rPr>
          <w:rFonts w:eastAsia="Times New Roman" w:cs="Times New Roman"/>
          <w:szCs w:val="24"/>
        </w:rPr>
      </w:pPr>
    </w:p>
    <w:p w:rsidR="002F6C7C" w:rsidRPr="005C2A78" w:rsidRDefault="002F6C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750B9EB7B24AEF989E78414156FB28"/>
          </w:placeholder>
        </w:sdtPr>
        <w:sdtContent>
          <w:r>
            <w:rPr>
              <w:rFonts w:eastAsia="Times New Roman" w:cs="Times New Roman"/>
              <w:b/>
              <w:szCs w:val="24"/>
              <w:u w:val="single"/>
            </w:rPr>
            <w:t>RULEMAKING AUTHORITY</w:t>
          </w:r>
        </w:sdtContent>
      </w:sdt>
    </w:p>
    <w:p w:rsidR="002F6C7C" w:rsidRPr="006529C4" w:rsidRDefault="002F6C7C" w:rsidP="00774EC7">
      <w:pPr>
        <w:spacing w:after="0" w:line="240" w:lineRule="auto"/>
        <w:jc w:val="both"/>
        <w:rPr>
          <w:rFonts w:cs="Times New Roman"/>
          <w:szCs w:val="24"/>
        </w:rPr>
      </w:pPr>
    </w:p>
    <w:p w:rsidR="002F6C7C" w:rsidRPr="006529C4" w:rsidRDefault="002F6C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6C7C" w:rsidRPr="006529C4" w:rsidRDefault="002F6C7C" w:rsidP="00774EC7">
      <w:pPr>
        <w:spacing w:after="0" w:line="240" w:lineRule="auto"/>
        <w:jc w:val="both"/>
        <w:rPr>
          <w:rFonts w:cs="Times New Roman"/>
          <w:szCs w:val="24"/>
        </w:rPr>
      </w:pPr>
    </w:p>
    <w:p w:rsidR="002F6C7C" w:rsidRPr="005C2A78" w:rsidRDefault="002F6C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678A3E55B943A3A3DE68417FBFE1E9"/>
          </w:placeholder>
        </w:sdtPr>
        <w:sdtContent>
          <w:r>
            <w:rPr>
              <w:rFonts w:eastAsia="Times New Roman" w:cs="Times New Roman"/>
              <w:b/>
              <w:szCs w:val="24"/>
              <w:u w:val="single"/>
            </w:rPr>
            <w:t>SECTION BY SECTION ANALYSIS</w:t>
          </w:r>
        </w:sdtContent>
      </w:sdt>
    </w:p>
    <w:p w:rsidR="002F6C7C" w:rsidRPr="005C2A78" w:rsidRDefault="002F6C7C" w:rsidP="000F1DF9">
      <w:pPr>
        <w:spacing w:after="0" w:line="240" w:lineRule="auto"/>
        <w:jc w:val="both"/>
        <w:rPr>
          <w:rFonts w:eastAsia="Times New Roman" w:cs="Times New Roman"/>
          <w:szCs w:val="24"/>
        </w:rPr>
      </w:pPr>
    </w:p>
    <w:p w:rsidR="002F6C7C" w:rsidRPr="002B3B91" w:rsidRDefault="002F6C7C" w:rsidP="002F6C7C">
      <w:pPr>
        <w:spacing w:after="0" w:line="240" w:lineRule="auto"/>
        <w:jc w:val="both"/>
        <w:rPr>
          <w:rFonts w:eastAsia="Times New Roman" w:cs="Times New Roman"/>
          <w:szCs w:val="24"/>
        </w:rPr>
      </w:pPr>
      <w:r w:rsidRPr="002B3B91">
        <w:rPr>
          <w:rFonts w:eastAsia="Times New Roman" w:cs="Times New Roman"/>
          <w:szCs w:val="24"/>
        </w:rPr>
        <w:t xml:space="preserve">SECTION 1. Amends Article 56A.052(a), Code of Criminal Procedure, </w:t>
      </w:r>
      <w:r>
        <w:rPr>
          <w:rFonts w:eastAsia="Times New Roman" w:cs="Times New Roman"/>
          <w:szCs w:val="24"/>
        </w:rPr>
        <w:t xml:space="preserve">to conform to Section 2, Chapter 1037 (H.B. 616), Acts of the 86th Legislature, Regular Session, 2019, and further amends it </w:t>
      </w:r>
      <w:r w:rsidRPr="002B3B91">
        <w:rPr>
          <w:rFonts w:eastAsia="Times New Roman" w:cs="Times New Roman"/>
          <w:szCs w:val="24"/>
        </w:rPr>
        <w:t xml:space="preserve">to provide that, if </w:t>
      </w:r>
      <w:r w:rsidRPr="002B3B91">
        <w:rPr>
          <w:rFonts w:cs="Times New Roman"/>
          <w:szCs w:val="24"/>
          <w:shd w:val="clear" w:color="auto" w:fill="FFFFFF"/>
        </w:rPr>
        <w:t xml:space="preserve">the offense is a sexual assault, a victim, guardian of a victim, or close relative of a deceased victim is entitled to certain rights within the criminal justice system, including, for the victim, the right to a forensic medical examination to the extent provided by Subchapters F </w:t>
      </w:r>
      <w:r w:rsidRPr="002B3B91">
        <w:rPr>
          <w:rFonts w:cs="Times New Roman"/>
          <w:szCs w:val="24"/>
        </w:rPr>
        <w:t>(Forensic Medical Examination of Sexual Assault Victim Reporting Assault)</w:t>
      </w:r>
      <w:r w:rsidRPr="002B3B91">
        <w:rPr>
          <w:rFonts w:cs="Times New Roman"/>
          <w:szCs w:val="24"/>
          <w:shd w:val="clear" w:color="auto" w:fill="FFFFFF"/>
        </w:rPr>
        <w:t xml:space="preserve"> and G </w:t>
      </w:r>
      <w:r w:rsidRPr="002B3B91">
        <w:rPr>
          <w:rFonts w:cs="Times New Roman"/>
          <w:szCs w:val="24"/>
        </w:rPr>
        <w:t>(Forensic Medical Examination of Sexual Assault Victim Not Reporting Assault)</w:t>
      </w:r>
      <w:r w:rsidRPr="002B3B91">
        <w:rPr>
          <w:rFonts w:cs="Times New Roman"/>
          <w:szCs w:val="24"/>
          <w:shd w:val="clear" w:color="auto" w:fill="FFFFFF"/>
        </w:rPr>
        <w:t xml:space="preserve"> if, within 120 hours, rather than within 96 hours, of the offense a forensic medical examination is otherwise conducted at a health care provider, rather than at a health care facility.</w:t>
      </w:r>
    </w:p>
    <w:p w:rsidR="002F6C7C" w:rsidRPr="002B3B91" w:rsidRDefault="002F6C7C" w:rsidP="002F6C7C">
      <w:pPr>
        <w:spacing w:after="0" w:line="240" w:lineRule="auto"/>
        <w:jc w:val="both"/>
        <w:rPr>
          <w:rFonts w:eastAsia="Times New Roman" w:cs="Times New Roman"/>
          <w:szCs w:val="24"/>
        </w:rPr>
      </w:pPr>
    </w:p>
    <w:p w:rsidR="002F6C7C" w:rsidRPr="002B3B91" w:rsidRDefault="002F6C7C" w:rsidP="002F6C7C">
      <w:pPr>
        <w:spacing w:after="0" w:line="240" w:lineRule="auto"/>
        <w:jc w:val="both"/>
        <w:rPr>
          <w:rFonts w:cs="Times New Roman"/>
          <w:szCs w:val="24"/>
          <w:shd w:val="clear" w:color="auto" w:fill="FFFFFF"/>
        </w:rPr>
      </w:pPr>
      <w:r w:rsidRPr="002B3B91">
        <w:rPr>
          <w:rFonts w:eastAsia="Times New Roman" w:cs="Times New Roman"/>
          <w:szCs w:val="24"/>
        </w:rPr>
        <w:t xml:space="preserve">SECTION 2. Amends Subchapter F, Chapter 56A, Code of Criminal Procedure, to conform to Section 3, Chapter </w:t>
      </w:r>
      <w:r w:rsidRPr="002B3B91">
        <w:rPr>
          <w:rFonts w:cs="Times New Roman"/>
          <w:szCs w:val="24"/>
          <w:shd w:val="clear" w:color="auto" w:fill="FFFFFF"/>
        </w:rPr>
        <w:t>1037 (H.B. </w:t>
      </w:r>
      <w:r w:rsidRPr="0075733B">
        <w:rPr>
          <w:rFonts w:cs="Times New Roman"/>
          <w:szCs w:val="24"/>
          <w:shd w:val="clear" w:color="auto" w:fill="FFFFFF"/>
        </w:rPr>
        <w:t>616</w:t>
      </w:r>
      <w:r w:rsidRPr="002B3B91">
        <w:rPr>
          <w:rFonts w:cs="Times New Roman"/>
          <w:szCs w:val="24"/>
          <w:shd w:val="clear" w:color="auto" w:fill="FFFFFF"/>
        </w:rPr>
        <w:t>), Acts of the 86th Legislature, Regular Session, 2019, by adding Article 56A.2505, and amends that article further, as follows:</w:t>
      </w:r>
    </w:p>
    <w:p w:rsidR="002F6C7C" w:rsidRPr="002B3B91" w:rsidRDefault="002F6C7C" w:rsidP="002F6C7C">
      <w:pPr>
        <w:spacing w:after="0" w:line="240" w:lineRule="auto"/>
        <w:jc w:val="both"/>
        <w:rPr>
          <w:rFonts w:cs="Times New Roman"/>
          <w:szCs w:val="24"/>
          <w:shd w:val="clear" w:color="auto" w:fill="FFFFFF"/>
        </w:rPr>
      </w:pPr>
    </w:p>
    <w:p w:rsidR="002F6C7C" w:rsidRPr="002B3B91" w:rsidRDefault="002F6C7C" w:rsidP="002F6C7C">
      <w:pPr>
        <w:spacing w:after="0" w:line="240" w:lineRule="auto"/>
        <w:ind w:left="720"/>
        <w:jc w:val="both"/>
        <w:rPr>
          <w:rFonts w:eastAsia="Times New Roman" w:cs="Times New Roman"/>
          <w:szCs w:val="24"/>
        </w:rPr>
      </w:pPr>
      <w:r w:rsidRPr="002B3B91">
        <w:rPr>
          <w:rFonts w:cs="Times New Roman"/>
          <w:szCs w:val="24"/>
          <w:shd w:val="clear" w:color="auto" w:fill="FFFFFF"/>
        </w:rPr>
        <w:t>Art. 56A.2505.  APPLICABILITY.  Provides that Subchapter F applies to health care providers described by Article 56A.302 (Applicability).</w:t>
      </w:r>
    </w:p>
    <w:p w:rsidR="002F6C7C" w:rsidRPr="002B3B91" w:rsidRDefault="002F6C7C" w:rsidP="002F6C7C">
      <w:pPr>
        <w:spacing w:after="0" w:line="240" w:lineRule="auto"/>
        <w:ind w:left="720"/>
        <w:jc w:val="both"/>
        <w:rPr>
          <w:rFonts w:eastAsia="Times New Roman" w:cs="Times New Roman"/>
          <w:szCs w:val="24"/>
        </w:rPr>
      </w:pPr>
    </w:p>
    <w:p w:rsidR="002F6C7C" w:rsidRPr="002B3B91" w:rsidRDefault="002F6C7C" w:rsidP="002F6C7C">
      <w:pPr>
        <w:spacing w:after="0" w:line="240" w:lineRule="auto"/>
        <w:jc w:val="both"/>
        <w:rPr>
          <w:rFonts w:cs="Times New Roman"/>
          <w:szCs w:val="24"/>
        </w:rPr>
      </w:pPr>
      <w:r w:rsidRPr="002B3B91">
        <w:rPr>
          <w:rFonts w:eastAsia="Times New Roman" w:cs="Times New Roman"/>
          <w:szCs w:val="24"/>
        </w:rPr>
        <w:t xml:space="preserve">SECTION 3. </w:t>
      </w:r>
      <w:r w:rsidRPr="002B3B91">
        <w:rPr>
          <w:rFonts w:cs="Times New Roman"/>
          <w:szCs w:val="24"/>
        </w:rPr>
        <w:t xml:space="preserve">Amends Subchapter F, Chapter 56A, Code of Criminal Procedure, by adding Article 56A.2506, as follows: </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ind w:left="720"/>
        <w:jc w:val="both"/>
        <w:rPr>
          <w:rFonts w:cs="Times New Roman"/>
          <w:szCs w:val="24"/>
        </w:rPr>
      </w:pPr>
      <w:r w:rsidRPr="002B3B91">
        <w:rPr>
          <w:rFonts w:cs="Times New Roman"/>
          <w:szCs w:val="24"/>
        </w:rPr>
        <w:t>Art. 56A.2506. DEFINITION. Defines, for purposes of Subchapter F, "reported sexual assault."</w:t>
      </w:r>
    </w:p>
    <w:p w:rsidR="002F6C7C" w:rsidRPr="002B3B91" w:rsidRDefault="002F6C7C" w:rsidP="002F6C7C">
      <w:pPr>
        <w:spacing w:after="0" w:line="240" w:lineRule="auto"/>
        <w:ind w:left="720"/>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 xml:space="preserve">SECTION 4. Amends Article 56A.251, Code of Criminal Procedure, to conform to Section 3, Chapter 1037 (H.B. 616), Acts of the 86th Legislature, Regular Session, 2019, and amends it further, as follows: </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ind w:left="720"/>
        <w:jc w:val="both"/>
        <w:rPr>
          <w:rFonts w:cs="Times New Roman"/>
          <w:szCs w:val="24"/>
        </w:rPr>
      </w:pPr>
      <w:r w:rsidRPr="002B3B91">
        <w:rPr>
          <w:rFonts w:cs="Times New Roman"/>
          <w:szCs w:val="24"/>
        </w:rPr>
        <w:t xml:space="preserve">Art. 56A.251. REQUEST FOR FORENSIC MEDICAL EXAMINATION. (a) Requires a law enforcement agency, if a sexual assault is reported to the law enforcement agency within 120 hours after the assault, to, with the consent of certain persons, including the victim of the reported assault, </w:t>
      </w:r>
      <w:r>
        <w:rPr>
          <w:rFonts w:cs="Times New Roman"/>
          <w:szCs w:val="24"/>
        </w:rPr>
        <w:t xml:space="preserve">to </w:t>
      </w:r>
      <w:r w:rsidRPr="002B3B91">
        <w:rPr>
          <w:rFonts w:cs="Times New Roman"/>
          <w:szCs w:val="24"/>
        </w:rPr>
        <w:t xml:space="preserve">request a forensic medical examination of the victim for use in the investigation or prosecution of the offense. Deletes existing text requiring a law enforcement agency, except as provided by Subsection (b), if a sexual assault is reported to a law enforcement agency within 96 hours after the assault, to, with the consent of certain persons, including the victim of the alleged assault, request a forensic medical examination of the victim for use in the investigation or prosecution of the offense. </w:t>
      </w:r>
    </w:p>
    <w:p w:rsidR="002F6C7C" w:rsidRPr="002B3B91" w:rsidRDefault="002F6C7C" w:rsidP="002F6C7C">
      <w:pPr>
        <w:spacing w:after="0" w:line="240" w:lineRule="auto"/>
        <w:ind w:left="72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 xml:space="preserve">(b) Requires a law enforcement agency, if a sexual assault is not reported within the period described by Subsection (a) and the victim is a minor as defined by Section 101.003 (Child or Minor; Adult), Family Code, on receiving the consent described by Subsection (a) or the consent described by Section 32.003 (Consent to Treatment by Child) or 32.005 (Examination Without Consent of Abuse or Neglect of Child), Family Code, to request a forensic medical examination of the victim for use in the investigation or prosecution of the offense. Deletes existing text authorizing a law enforcement agency to decline to request a forensic medical examination under Subsection (a) only if the person reporting the sexual assault has made one or more false reports of sexual assault to any law enforcement agency, and there is no other evidence to corroborate the current allegations of sexual assault.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 xml:space="preserve">(c) Authorizes a law enforcement agency, if a sexual assault is not reported within the period described by Subsection (a) and the victim is not a minor as defined by Section 101.003, Family Code, on receiving the consent described by Subsection (a), to request a forensic medical examination of a victim of a reported sexual assault for use in the investigation or prosecution of the offense if: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 xml:space="preserve">(1) based on the circumstances of the reported assault, the agency believes a forensic medical examination would further that investigation or prosecution; or </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(2) after a medical evaluation by a physician, sexual assault examiner, or sexual assault nurse examiner, the physician or examiner notifies the agency that a forensic medical examination should be conducted. Deletes existing text authorizing a law enforcement agency, if a sexual assault is not reported within the period described by Subsection (a), on receiving the consent described by that subsection, to request a forensic medical examination of a victim of an alleged sexual assault as considered appropriate by the law enforcement agency</w:t>
      </w:r>
      <w:r>
        <w:rPr>
          <w:rFonts w:cs="Times New Roman"/>
          <w:szCs w:val="24"/>
        </w:rPr>
        <w:t>.</w:t>
      </w:r>
      <w:r w:rsidRPr="002B3B91">
        <w:rPr>
          <w:rFonts w:cs="Times New Roman"/>
          <w:szCs w:val="24"/>
        </w:rPr>
        <w:t xml:space="preserve"> </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 xml:space="preserve">(d) Requires a law enforcement agency, if a sexual assault is reported to </w:t>
      </w:r>
      <w:r>
        <w:rPr>
          <w:rFonts w:cs="Times New Roman"/>
          <w:szCs w:val="24"/>
        </w:rPr>
        <w:t>a</w:t>
      </w:r>
      <w:r w:rsidRPr="002B3B91">
        <w:rPr>
          <w:rFonts w:cs="Times New Roman"/>
          <w:szCs w:val="24"/>
        </w:rPr>
        <w:t xml:space="preserve"> law enforcement agency as provided by Subsection (a), (b), or (c), to document, in the form and manner required by the attorney general, whether the agency requested a forensic medical examination. Requires the law enforcement agency to: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 xml:space="preserve">(1) provide the documentation of the agency's decision regarding a request for a forensic medical examination to: </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ind w:left="2880"/>
        <w:jc w:val="both"/>
        <w:rPr>
          <w:rFonts w:cs="Times New Roman"/>
          <w:szCs w:val="24"/>
        </w:rPr>
      </w:pPr>
      <w:r w:rsidRPr="002B3B91">
        <w:rPr>
          <w:rFonts w:cs="Times New Roman"/>
          <w:szCs w:val="24"/>
        </w:rPr>
        <w:t xml:space="preserve">(A) the health care provider and the physician, sexual assault examiner, or sexual assault nurse examiner, as applicable, who provides services to the victim that are related to the sexual assault; and </w:t>
      </w:r>
    </w:p>
    <w:p w:rsidR="002F6C7C" w:rsidRPr="002B3B91" w:rsidRDefault="002F6C7C" w:rsidP="002F6C7C">
      <w:pPr>
        <w:spacing w:after="0" w:line="240" w:lineRule="auto"/>
        <w:ind w:left="2880"/>
        <w:jc w:val="both"/>
        <w:rPr>
          <w:rFonts w:cs="Times New Roman"/>
          <w:szCs w:val="24"/>
        </w:rPr>
      </w:pPr>
    </w:p>
    <w:p w:rsidR="002F6C7C" w:rsidRPr="002B3B91" w:rsidRDefault="002F6C7C" w:rsidP="002F6C7C">
      <w:pPr>
        <w:spacing w:after="0" w:line="240" w:lineRule="auto"/>
        <w:ind w:left="2880"/>
        <w:jc w:val="both"/>
        <w:rPr>
          <w:rFonts w:cs="Times New Roman"/>
          <w:szCs w:val="24"/>
        </w:rPr>
      </w:pPr>
      <w:r w:rsidRPr="002B3B91">
        <w:rPr>
          <w:rFonts w:cs="Times New Roman"/>
          <w:szCs w:val="24"/>
        </w:rPr>
        <w:t xml:space="preserve">(B) the victim or the person who consented to the forensic medical examination on behalf of the victim; and </w:t>
      </w:r>
    </w:p>
    <w:p w:rsidR="002F6C7C" w:rsidRPr="002B3B91" w:rsidRDefault="002F6C7C" w:rsidP="002F6C7C">
      <w:pPr>
        <w:spacing w:after="0" w:line="240" w:lineRule="auto"/>
        <w:ind w:left="288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(2) maintain the documentation of the agency's decision in accordance with the agency's record retention policies.</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SECTION 5. Amends Article 56A.252, Code of Criminal Procedure, to conform to Section</w:t>
      </w:r>
      <w:r>
        <w:rPr>
          <w:rFonts w:cs="Times New Roman"/>
          <w:szCs w:val="24"/>
        </w:rPr>
        <w:t>s</w:t>
      </w:r>
      <w:r w:rsidRPr="002B3B91">
        <w:rPr>
          <w:rFonts w:cs="Times New Roman"/>
          <w:szCs w:val="24"/>
        </w:rPr>
        <w:t xml:space="preserve"> 3 and 8, Chapter 1037 (H.B. 616, Acts of the 86th Legislature, Regular Session, 2019, and further amends it, as follows:</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ind w:left="720"/>
        <w:jc w:val="both"/>
        <w:rPr>
          <w:rFonts w:cs="Times New Roman"/>
          <w:szCs w:val="24"/>
          <w:shd w:val="clear" w:color="auto" w:fill="FFFFFF"/>
        </w:rPr>
      </w:pPr>
      <w:r w:rsidRPr="002B3B91">
        <w:rPr>
          <w:rFonts w:cs="Times New Roman"/>
          <w:szCs w:val="24"/>
        </w:rPr>
        <w:t xml:space="preserve">Art. 56A.252.  PAYMENT OF COSTS OF EXAMINATION.  (a) Creates this subsection from existing text. Provides that, on </w:t>
      </w:r>
      <w:r w:rsidRPr="002B3B91">
        <w:rPr>
          <w:rFonts w:cs="Times New Roman"/>
          <w:szCs w:val="24"/>
          <w:shd w:val="clear" w:color="auto" w:fill="FFFFFF"/>
        </w:rPr>
        <w:t>application to the attorney general, a health care provider that provides a forensic medical examination to a sexual assault survivor in accordance with Subchapter F, or the sexual assault examiner or sexual assault nurse examiner who conducts that examination, as applicable, is entitled to be reimbursed in an amount set by attorney general rule for:</w:t>
      </w:r>
    </w:p>
    <w:p w:rsidR="002F6C7C" w:rsidRPr="002B3B91" w:rsidRDefault="002F6C7C" w:rsidP="002F6C7C">
      <w:pPr>
        <w:spacing w:after="0" w:line="240" w:lineRule="auto"/>
        <w:ind w:left="720"/>
        <w:jc w:val="both"/>
        <w:rPr>
          <w:rFonts w:cs="Times New Roman"/>
          <w:szCs w:val="24"/>
          <w:shd w:val="clear" w:color="auto" w:fill="FFFFFF"/>
        </w:rPr>
      </w:pPr>
    </w:p>
    <w:p w:rsidR="002F6C7C" w:rsidRPr="002B3B91" w:rsidRDefault="002F6C7C" w:rsidP="002F6C7C">
      <w:pPr>
        <w:spacing w:after="0" w:line="240" w:lineRule="auto"/>
        <w:ind w:left="2160"/>
        <w:jc w:val="both"/>
        <w:rPr>
          <w:rFonts w:cs="Times New Roman"/>
          <w:szCs w:val="24"/>
          <w:shd w:val="clear" w:color="auto" w:fill="FFFFFF"/>
        </w:rPr>
      </w:pPr>
      <w:r w:rsidRPr="002B3B91">
        <w:rPr>
          <w:rFonts w:cs="Times New Roman"/>
          <w:szCs w:val="24"/>
          <w:shd w:val="clear" w:color="auto" w:fill="FFFFFF"/>
        </w:rPr>
        <w:t>(1) the reasonable costs of the forensic portion of that examination; and</w:t>
      </w:r>
    </w:p>
    <w:p w:rsidR="002F6C7C" w:rsidRPr="002B3B91" w:rsidRDefault="002F6C7C" w:rsidP="002F6C7C">
      <w:pPr>
        <w:spacing w:after="0" w:line="240" w:lineRule="auto"/>
        <w:ind w:left="2160"/>
        <w:jc w:val="both"/>
        <w:rPr>
          <w:rFonts w:cs="Times New Roman"/>
          <w:szCs w:val="24"/>
          <w:shd w:val="clear" w:color="auto" w:fill="FFFFFF"/>
        </w:rPr>
      </w:pPr>
    </w:p>
    <w:p w:rsidR="002F6C7C" w:rsidRPr="002B3B91" w:rsidRDefault="002F6C7C" w:rsidP="002F6C7C">
      <w:pPr>
        <w:spacing w:after="0" w:line="240" w:lineRule="auto"/>
        <w:ind w:left="2160"/>
        <w:jc w:val="both"/>
        <w:rPr>
          <w:rFonts w:cs="Times New Roman"/>
          <w:szCs w:val="24"/>
          <w:shd w:val="clear" w:color="auto" w:fill="FFFFFF"/>
        </w:rPr>
      </w:pPr>
      <w:r w:rsidRPr="002B3B91">
        <w:rPr>
          <w:rFonts w:cs="Times New Roman"/>
          <w:szCs w:val="24"/>
          <w:shd w:val="clear" w:color="auto" w:fill="FFFFFF"/>
        </w:rPr>
        <w:t>(2) the evidence collection kit.</w:t>
      </w:r>
    </w:p>
    <w:p w:rsidR="002F6C7C" w:rsidRPr="002B3B91" w:rsidRDefault="002F6C7C" w:rsidP="002F6C7C">
      <w:pPr>
        <w:spacing w:after="0" w:line="240" w:lineRule="auto"/>
        <w:ind w:left="2160"/>
        <w:jc w:val="both"/>
        <w:rPr>
          <w:rFonts w:cs="Times New Roman"/>
          <w:szCs w:val="24"/>
          <w:shd w:val="clear" w:color="auto" w:fill="FFFFFF"/>
        </w:rPr>
      </w:pPr>
    </w:p>
    <w:p w:rsidR="002F6C7C" w:rsidRPr="002B3B91" w:rsidRDefault="002F6C7C" w:rsidP="002F6C7C">
      <w:pPr>
        <w:spacing w:after="0" w:line="240" w:lineRule="auto"/>
        <w:ind w:left="1440"/>
        <w:jc w:val="both"/>
        <w:rPr>
          <w:rFonts w:cs="Times New Roman"/>
          <w:szCs w:val="24"/>
          <w:shd w:val="clear" w:color="auto" w:fill="FFFFFF"/>
        </w:rPr>
      </w:pPr>
      <w:r w:rsidRPr="002B3B91">
        <w:rPr>
          <w:rFonts w:cs="Times New Roman"/>
          <w:szCs w:val="24"/>
          <w:shd w:val="clear" w:color="auto" w:fill="FFFFFF"/>
        </w:rPr>
        <w:t>Deletes existing text requiring a law enforcement agency that requests a forensic medical examination under Article 56A.251 to pay all costs of the examination. Deletes existing text providing that the law enforcement agency</w:t>
      </w:r>
      <w:r>
        <w:rPr>
          <w:rFonts w:cs="Times New Roman"/>
          <w:szCs w:val="24"/>
          <w:shd w:val="clear" w:color="auto" w:fill="FFFFFF"/>
        </w:rPr>
        <w:t>, on application to the attorney general,</w:t>
      </w:r>
      <w:r w:rsidRPr="002B3B91">
        <w:rPr>
          <w:rFonts w:cs="Times New Roman"/>
          <w:szCs w:val="24"/>
          <w:shd w:val="clear" w:color="auto" w:fill="FFFFFF"/>
        </w:rPr>
        <w:t xml:space="preserve"> is entitled to be reimbursed for the reasonable costs of the examination if the examination was performed by a physician or by a sexual assault examiner or sexual assault nurse examiner, as defined by Section 420.003 (Definitions), Government Code.</w:t>
      </w:r>
    </w:p>
    <w:p w:rsidR="002F6C7C" w:rsidRPr="002B3B91" w:rsidRDefault="002F6C7C" w:rsidP="002F6C7C">
      <w:pPr>
        <w:spacing w:after="0" w:line="240" w:lineRule="auto"/>
        <w:ind w:left="1440"/>
        <w:jc w:val="both"/>
        <w:rPr>
          <w:rFonts w:cs="Times New Roman"/>
          <w:szCs w:val="24"/>
          <w:shd w:val="clear" w:color="auto" w:fill="FFFFFF"/>
        </w:rPr>
      </w:pPr>
    </w:p>
    <w:p w:rsidR="002F6C7C" w:rsidRPr="002B3B91" w:rsidRDefault="002F6C7C" w:rsidP="002F6C7C">
      <w:pPr>
        <w:spacing w:after="0" w:line="240" w:lineRule="auto"/>
        <w:ind w:left="1440"/>
        <w:jc w:val="both"/>
        <w:rPr>
          <w:rFonts w:cs="Times New Roman"/>
          <w:szCs w:val="24"/>
          <w:shd w:val="clear" w:color="auto" w:fill="FFFFFF"/>
        </w:rPr>
      </w:pPr>
      <w:r w:rsidRPr="002B3B91">
        <w:rPr>
          <w:rFonts w:cs="Times New Roman"/>
          <w:szCs w:val="24"/>
          <w:shd w:val="clear" w:color="auto" w:fill="FFFFFF"/>
        </w:rPr>
        <w:t>(b) Requires that the application under Subsection (a) be in the form and manner prescribed by the attorney general and include:</w:t>
      </w:r>
    </w:p>
    <w:p w:rsidR="002F6C7C" w:rsidRPr="002B3B91" w:rsidRDefault="002F6C7C" w:rsidP="002F6C7C">
      <w:pPr>
        <w:spacing w:after="0" w:line="240" w:lineRule="auto"/>
        <w:ind w:left="1440"/>
        <w:jc w:val="both"/>
        <w:rPr>
          <w:rFonts w:cs="Times New Roman"/>
          <w:szCs w:val="24"/>
          <w:shd w:val="clear" w:color="auto" w:fill="FFFFFF"/>
        </w:rPr>
      </w:pPr>
    </w:p>
    <w:p w:rsidR="002F6C7C" w:rsidRPr="002B3B91" w:rsidRDefault="002F6C7C" w:rsidP="002F6C7C">
      <w:pPr>
        <w:spacing w:after="0" w:line="240" w:lineRule="auto"/>
        <w:ind w:left="2160"/>
        <w:jc w:val="both"/>
        <w:rPr>
          <w:rFonts w:cs="Times New Roman"/>
          <w:szCs w:val="24"/>
          <w:shd w:val="clear" w:color="auto" w:fill="FFFFFF"/>
        </w:rPr>
      </w:pPr>
      <w:r w:rsidRPr="002B3B91">
        <w:rPr>
          <w:rFonts w:cs="Times New Roman"/>
          <w:szCs w:val="24"/>
          <w:shd w:val="clear" w:color="auto" w:fill="FFFFFF"/>
        </w:rPr>
        <w:t>(1) the documentation that the law enforcement agency requested the forensic medical examination, as required under Article 56A.251(d); and</w:t>
      </w:r>
    </w:p>
    <w:p w:rsidR="002F6C7C" w:rsidRPr="002B3B91" w:rsidRDefault="002F6C7C" w:rsidP="002F6C7C">
      <w:pPr>
        <w:spacing w:after="0" w:line="240" w:lineRule="auto"/>
        <w:ind w:left="2160"/>
        <w:jc w:val="both"/>
        <w:rPr>
          <w:rFonts w:cs="Times New Roman"/>
          <w:szCs w:val="24"/>
          <w:shd w:val="clear" w:color="auto" w:fill="FFFFFF"/>
        </w:rPr>
      </w:pPr>
    </w:p>
    <w:p w:rsidR="002F6C7C" w:rsidRPr="002B3B91" w:rsidRDefault="002F6C7C" w:rsidP="002F6C7C">
      <w:pPr>
        <w:spacing w:after="0" w:line="240" w:lineRule="auto"/>
        <w:ind w:left="2160"/>
        <w:jc w:val="both"/>
        <w:rPr>
          <w:rFonts w:cs="Times New Roman"/>
          <w:szCs w:val="24"/>
          <w:shd w:val="clear" w:color="auto" w:fill="FFFFFF"/>
        </w:rPr>
      </w:pPr>
      <w:r w:rsidRPr="002B3B91">
        <w:rPr>
          <w:rFonts w:cs="Times New Roman"/>
          <w:szCs w:val="24"/>
          <w:shd w:val="clear" w:color="auto" w:fill="FFFFFF"/>
        </w:rPr>
        <w:t>(2) a complete and itemized bill of the reasonable costs of the forensic portion of the examination.</w:t>
      </w:r>
    </w:p>
    <w:p w:rsidR="002F6C7C" w:rsidRPr="002B3B91" w:rsidRDefault="002F6C7C" w:rsidP="002F6C7C">
      <w:pPr>
        <w:spacing w:after="0" w:line="240" w:lineRule="auto"/>
        <w:ind w:left="2160"/>
        <w:jc w:val="both"/>
        <w:rPr>
          <w:rFonts w:cs="Times New Roman"/>
          <w:szCs w:val="24"/>
          <w:shd w:val="clear" w:color="auto" w:fill="FFFFFF"/>
        </w:rPr>
      </w:pPr>
    </w:p>
    <w:p w:rsidR="002F6C7C" w:rsidRPr="002B3B91" w:rsidRDefault="002F6C7C" w:rsidP="002F6C7C">
      <w:pPr>
        <w:spacing w:after="0" w:line="240" w:lineRule="auto"/>
        <w:ind w:left="1440"/>
        <w:jc w:val="both"/>
        <w:rPr>
          <w:rFonts w:cs="Times New Roman"/>
          <w:szCs w:val="24"/>
          <w:shd w:val="clear" w:color="auto" w:fill="FFFFFF"/>
        </w:rPr>
      </w:pPr>
      <w:r w:rsidRPr="002B3B91">
        <w:rPr>
          <w:rFonts w:cs="Times New Roman"/>
          <w:szCs w:val="24"/>
          <w:shd w:val="clear" w:color="auto" w:fill="FFFFFF"/>
        </w:rPr>
        <w:t>(c) Requires a health care provider or sexual assault examiner or sexual assault nurse examiner, as applicable, who applies for reimbursement under Subsection</w:t>
      </w:r>
      <w:r>
        <w:rPr>
          <w:rFonts w:cs="Times New Roman"/>
          <w:szCs w:val="24"/>
          <w:shd w:val="clear" w:color="auto" w:fill="FFFFFF"/>
        </w:rPr>
        <w:t xml:space="preserve"> (a) to accept reimbursement from</w:t>
      </w:r>
      <w:r w:rsidRPr="002B3B91">
        <w:rPr>
          <w:rFonts w:cs="Times New Roman"/>
          <w:szCs w:val="24"/>
          <w:shd w:val="clear" w:color="auto" w:fill="FFFFFF"/>
        </w:rPr>
        <w:t xml:space="preserve"> the attorney general as payment for the costs unless:</w:t>
      </w:r>
    </w:p>
    <w:p w:rsidR="002F6C7C" w:rsidRPr="002B3B91" w:rsidRDefault="002F6C7C" w:rsidP="002F6C7C">
      <w:pPr>
        <w:spacing w:after="0" w:line="240" w:lineRule="auto"/>
        <w:ind w:left="1440"/>
        <w:jc w:val="both"/>
        <w:rPr>
          <w:rFonts w:cs="Times New Roman"/>
          <w:szCs w:val="24"/>
          <w:shd w:val="clear" w:color="auto" w:fill="FFFFFF"/>
        </w:rPr>
      </w:pPr>
    </w:p>
    <w:p w:rsidR="002F6C7C" w:rsidRPr="002B3B91" w:rsidRDefault="002F6C7C" w:rsidP="002F6C7C">
      <w:pPr>
        <w:spacing w:after="0" w:line="240" w:lineRule="auto"/>
        <w:ind w:left="2160"/>
        <w:jc w:val="both"/>
        <w:rPr>
          <w:rFonts w:cs="Times New Roman"/>
          <w:szCs w:val="24"/>
          <w:shd w:val="clear" w:color="auto" w:fill="FFFFFF"/>
        </w:rPr>
      </w:pPr>
      <w:r w:rsidRPr="002B3B91">
        <w:rPr>
          <w:rFonts w:cs="Times New Roman"/>
          <w:szCs w:val="24"/>
          <w:shd w:val="clear" w:color="auto" w:fill="FFFFFF"/>
        </w:rPr>
        <w:t>(1) the health care provider or the sexual assault examiner or sexual assault nurse examiner, as applicable:</w:t>
      </w:r>
    </w:p>
    <w:p w:rsidR="002F6C7C" w:rsidRPr="002B3B91" w:rsidRDefault="002F6C7C" w:rsidP="002F6C7C">
      <w:pPr>
        <w:spacing w:after="0" w:line="240" w:lineRule="auto"/>
        <w:ind w:left="2160"/>
        <w:jc w:val="both"/>
        <w:rPr>
          <w:rFonts w:cs="Times New Roman"/>
          <w:szCs w:val="24"/>
          <w:shd w:val="clear" w:color="auto" w:fill="FFFFFF"/>
        </w:rPr>
      </w:pPr>
    </w:p>
    <w:p w:rsidR="002F6C7C" w:rsidRPr="002B3B91" w:rsidRDefault="002F6C7C" w:rsidP="002F6C7C">
      <w:pPr>
        <w:spacing w:after="0" w:line="240" w:lineRule="auto"/>
        <w:ind w:left="2880"/>
        <w:jc w:val="both"/>
        <w:rPr>
          <w:rFonts w:cs="Times New Roman"/>
          <w:szCs w:val="24"/>
          <w:shd w:val="clear" w:color="auto" w:fill="FFFFFF"/>
        </w:rPr>
      </w:pPr>
      <w:r w:rsidRPr="002B3B91">
        <w:rPr>
          <w:rFonts w:cs="Times New Roman"/>
          <w:szCs w:val="24"/>
          <w:shd w:val="clear" w:color="auto" w:fill="FFFFFF"/>
        </w:rPr>
        <w:t>(A) requests, in writing, additional reimbursement from the attorney general; and</w:t>
      </w:r>
    </w:p>
    <w:p w:rsidR="002F6C7C" w:rsidRPr="002B3B91" w:rsidRDefault="002F6C7C" w:rsidP="002F6C7C">
      <w:pPr>
        <w:spacing w:after="0" w:line="240" w:lineRule="auto"/>
        <w:ind w:left="2880"/>
        <w:jc w:val="both"/>
        <w:rPr>
          <w:rFonts w:cs="Times New Roman"/>
          <w:szCs w:val="24"/>
          <w:shd w:val="clear" w:color="auto" w:fill="FFFFFF"/>
        </w:rPr>
      </w:pPr>
    </w:p>
    <w:p w:rsidR="002F6C7C" w:rsidRPr="002B3B91" w:rsidRDefault="002F6C7C" w:rsidP="002F6C7C">
      <w:pPr>
        <w:spacing w:after="0" w:line="240" w:lineRule="auto"/>
        <w:ind w:left="2880"/>
        <w:jc w:val="both"/>
        <w:rPr>
          <w:rFonts w:cs="Times New Roman"/>
          <w:szCs w:val="24"/>
          <w:shd w:val="clear" w:color="auto" w:fill="FFFFFF"/>
        </w:rPr>
      </w:pPr>
      <w:r w:rsidRPr="002B3B91">
        <w:rPr>
          <w:rFonts w:cs="Times New Roman"/>
          <w:szCs w:val="24"/>
          <w:shd w:val="clear" w:color="auto" w:fill="FFFFFF"/>
        </w:rPr>
        <w:t>(B) provides documentation in support of the additional reimbursement, as reasonably requested by the attorney general; and</w:t>
      </w:r>
    </w:p>
    <w:p w:rsidR="002F6C7C" w:rsidRPr="002B3B91" w:rsidRDefault="002F6C7C" w:rsidP="002F6C7C">
      <w:pPr>
        <w:spacing w:after="0" w:line="240" w:lineRule="auto"/>
        <w:ind w:left="2880"/>
        <w:jc w:val="both"/>
        <w:rPr>
          <w:rFonts w:cs="Times New Roman"/>
          <w:szCs w:val="24"/>
          <w:shd w:val="clear" w:color="auto" w:fill="FFFFFF"/>
        </w:rPr>
      </w:pPr>
    </w:p>
    <w:p w:rsidR="002F6C7C" w:rsidRPr="002B3B91" w:rsidRDefault="002F6C7C" w:rsidP="002F6C7C">
      <w:pPr>
        <w:spacing w:after="0" w:line="240" w:lineRule="auto"/>
        <w:ind w:left="2160"/>
        <w:jc w:val="both"/>
        <w:rPr>
          <w:rFonts w:cs="Times New Roman"/>
          <w:szCs w:val="24"/>
          <w:shd w:val="clear" w:color="auto" w:fill="FFFFFF"/>
        </w:rPr>
      </w:pPr>
      <w:r w:rsidRPr="002B3B91">
        <w:rPr>
          <w:rFonts w:cs="Times New Roman"/>
          <w:szCs w:val="24"/>
          <w:shd w:val="clear" w:color="auto" w:fill="FFFFFF"/>
        </w:rPr>
        <w:t>(2) the attorney general determines that there is a reasonable justification for additional reimbursement.</w:t>
      </w:r>
    </w:p>
    <w:p w:rsidR="002F6C7C" w:rsidRPr="002B3B91" w:rsidRDefault="002F6C7C" w:rsidP="002F6C7C">
      <w:pPr>
        <w:spacing w:after="0" w:line="240" w:lineRule="auto"/>
        <w:ind w:left="2160"/>
        <w:jc w:val="both"/>
        <w:rPr>
          <w:rFonts w:cs="Times New Roman"/>
          <w:szCs w:val="24"/>
          <w:shd w:val="clear" w:color="auto" w:fill="FFFFFF"/>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shd w:val="clear" w:color="auto" w:fill="FFFFFF"/>
        </w:rPr>
        <w:t>(d) Provides that a health care provider is not entitled to reimbursement under this article unless the forensic medical examination was conducted by</w:t>
      </w:r>
      <w:r w:rsidRPr="002B3B91">
        <w:rPr>
          <w:rFonts w:cs="Times New Roman"/>
          <w:szCs w:val="24"/>
        </w:rPr>
        <w:t xml:space="preserve"> a physician, sexual assault examiner, or sexual assault nurse examiner.</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(e) Authorizes the attorney general, on request, to provide training to a health care provider regarding the process for applying for reimbursement under this article.</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SECTION 6. Amends Article 56A.302, Code of Criminal Procedure, to make a conforming change.</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SECTION 7. Amends Article 56A.303, Code of Criminal Procedure, to conform to Section 4, Chapter 1037 (H.B. 616), Acts of the 86th Legislature, Regular Session, 2019, and amends it further to make conforming and nonsubstantive changes.</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SECTION 8. Amends Article 56A.304, Code of Criminal Procedure, to conform to Sections 4 and 8, Chapter 1037 (H.B. 616), Acts of the 86th Legislature, Regular Session, 2019, and amends it further, as follows:</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ind w:left="720"/>
        <w:jc w:val="both"/>
        <w:rPr>
          <w:rFonts w:cs="Times New Roman"/>
          <w:szCs w:val="24"/>
        </w:rPr>
      </w:pPr>
      <w:r w:rsidRPr="002B3B91">
        <w:rPr>
          <w:rFonts w:cs="Times New Roman"/>
          <w:szCs w:val="24"/>
        </w:rPr>
        <w:t xml:space="preserve">Art. 56A.304. PAYMENT OF FEES RELATED TO EXAMINATION. (a) Provides that, on application to the attorney general, a health care provider that provides a forensic medical examination to a sexual assault survivor in accordance with Subchapter G, or the sexual assault examiner or sexual assault nurse examiner who conducts that examination, as applicable, within 120 hours after the sexual assault occurred is entitled to be reimbursed in an amount set by attorney general rule for: </w:t>
      </w:r>
    </w:p>
    <w:p w:rsidR="002F6C7C" w:rsidRPr="002B3B91" w:rsidRDefault="002F6C7C" w:rsidP="002F6C7C">
      <w:pPr>
        <w:spacing w:after="0" w:line="240" w:lineRule="auto"/>
        <w:ind w:left="72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(1) the reasonable costs of the forensic portion of that examination; and</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 xml:space="preserve">(2) the evidence collection kit. </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ind w:left="720"/>
        <w:jc w:val="both"/>
        <w:rPr>
          <w:rFonts w:cs="Times New Roman"/>
          <w:szCs w:val="24"/>
        </w:rPr>
      </w:pPr>
      <w:r w:rsidRPr="002B3B91">
        <w:rPr>
          <w:rFonts w:cs="Times New Roman"/>
          <w:szCs w:val="24"/>
        </w:rPr>
        <w:t>Deletes existing text requiring the Department of Public Safety of the State of Texas (DPS) to pay the appropriate fees, as set by attorney general rule, for</w:t>
      </w:r>
      <w:r>
        <w:rPr>
          <w:rFonts w:cs="Times New Roman"/>
          <w:szCs w:val="24"/>
        </w:rPr>
        <w:t xml:space="preserve"> the forensic portion of</w:t>
      </w:r>
      <w:r w:rsidRPr="002B3B91">
        <w:rPr>
          <w:rFonts w:cs="Times New Roman"/>
          <w:szCs w:val="24"/>
        </w:rPr>
        <w:t xml:space="preserve"> a forensic medical examination conducted under Article 56A.303(a) (relating to requiring a health care facility to conduct a forensic medical examination of a victim of an alleged sexual assault </w:t>
      </w:r>
      <w:r>
        <w:rPr>
          <w:rFonts w:cs="Times New Roman"/>
          <w:szCs w:val="24"/>
        </w:rPr>
        <w:t xml:space="preserve">if the victim </w:t>
      </w:r>
      <w:r w:rsidRPr="002B3B91">
        <w:rPr>
          <w:rFonts w:cs="Times New Roman"/>
          <w:szCs w:val="24"/>
        </w:rPr>
        <w:t xml:space="preserve">takes certain actions) and for the evidence collection kit if a physician, sexual assault examiner, or sexual assault nurse examiner conducts the forensic portion of the examination within 96 hours after the alleged sexual assault occurred.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 xml:space="preserve">(b) Requires that the application under Subsection (a) be in the form and manner prescribed by the attorney general and include certification that the examination was conducted in accordance with the requirements of Article 56A.303(a) and a complete and itemized bill of the reasonable costs of the forensic portion of the examination. Deletes existing text requiring the attorney general to reimburse DPS for fees paid under Subsection (a).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 xml:space="preserve">(c) Requires a health care provider or a sexual assault examiner or sexual assault nurse examiner, as applicable, who applies for reimbursement under Subsection (a) to accept reimbursement from the attorney general as payment for the costs unless: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 xml:space="preserve">(1) the health care provider or sexual assault examiner or sexual assault nurse examiner, as applicable: </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ind w:left="2880"/>
        <w:jc w:val="both"/>
        <w:rPr>
          <w:rFonts w:cs="Times New Roman"/>
          <w:szCs w:val="24"/>
        </w:rPr>
      </w:pPr>
      <w:r w:rsidRPr="002B3B91">
        <w:rPr>
          <w:rFonts w:cs="Times New Roman"/>
          <w:szCs w:val="24"/>
        </w:rPr>
        <w:t xml:space="preserve">(A) requests, in writing, additional reimbursement from the attorney general; and </w:t>
      </w:r>
    </w:p>
    <w:p w:rsidR="002F6C7C" w:rsidRPr="002B3B91" w:rsidRDefault="002F6C7C" w:rsidP="002F6C7C">
      <w:pPr>
        <w:spacing w:after="0" w:line="240" w:lineRule="auto"/>
        <w:ind w:left="2880"/>
        <w:jc w:val="both"/>
        <w:rPr>
          <w:rFonts w:cs="Times New Roman"/>
          <w:szCs w:val="24"/>
        </w:rPr>
      </w:pPr>
    </w:p>
    <w:p w:rsidR="002F6C7C" w:rsidRPr="002B3B91" w:rsidRDefault="002F6C7C" w:rsidP="002F6C7C">
      <w:pPr>
        <w:spacing w:after="0" w:line="240" w:lineRule="auto"/>
        <w:ind w:left="2880"/>
        <w:jc w:val="both"/>
        <w:rPr>
          <w:rFonts w:cs="Times New Roman"/>
          <w:szCs w:val="24"/>
        </w:rPr>
      </w:pPr>
      <w:r w:rsidRPr="002B3B91">
        <w:rPr>
          <w:rFonts w:cs="Times New Roman"/>
          <w:szCs w:val="24"/>
        </w:rPr>
        <w:t xml:space="preserve">(B) provides documentation in support of the additional reimbursement, as reasonably requested by the attorney general; and </w:t>
      </w:r>
    </w:p>
    <w:p w:rsidR="002F6C7C" w:rsidRPr="002B3B91" w:rsidRDefault="002F6C7C" w:rsidP="002F6C7C">
      <w:pPr>
        <w:spacing w:after="0" w:line="240" w:lineRule="auto"/>
        <w:ind w:left="2880"/>
        <w:jc w:val="both"/>
        <w:rPr>
          <w:rFonts w:cs="Times New Roman"/>
          <w:szCs w:val="24"/>
        </w:rPr>
      </w:pPr>
    </w:p>
    <w:p w:rsidR="002F6C7C" w:rsidRPr="002B3B91" w:rsidRDefault="002F6C7C" w:rsidP="002F6C7C">
      <w:pPr>
        <w:spacing w:after="0" w:line="240" w:lineRule="auto"/>
        <w:ind w:left="2160"/>
        <w:jc w:val="both"/>
        <w:rPr>
          <w:rFonts w:cs="Times New Roman"/>
          <w:szCs w:val="24"/>
        </w:rPr>
      </w:pPr>
      <w:r w:rsidRPr="002B3B91">
        <w:rPr>
          <w:rFonts w:cs="Times New Roman"/>
          <w:szCs w:val="24"/>
        </w:rPr>
        <w:t xml:space="preserve">(2) the attorney general determines that there is a reasonable justification for additional reimbursement. </w:t>
      </w:r>
    </w:p>
    <w:p w:rsidR="002F6C7C" w:rsidRPr="002B3B91" w:rsidRDefault="002F6C7C" w:rsidP="002F6C7C">
      <w:pPr>
        <w:spacing w:after="0" w:line="240" w:lineRule="auto"/>
        <w:ind w:left="216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 xml:space="preserve">(d) Provides that a health care provider is not entitled to reimbursement under this article unless the forensic medical examination was conducted at the provider by a physician, sexual assault examiner, or sexual assault nurse examiner.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 xml:space="preserve">(e) Authorizes the attorney general, on request, to provide training to a health care provider regarding the process for applying for reimbursement under this article. </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ind w:left="1440"/>
        <w:jc w:val="both"/>
        <w:rPr>
          <w:rFonts w:cs="Times New Roman"/>
          <w:szCs w:val="24"/>
        </w:rPr>
      </w:pPr>
      <w:r w:rsidRPr="002B3B91">
        <w:rPr>
          <w:rFonts w:cs="Times New Roman"/>
          <w:szCs w:val="24"/>
        </w:rPr>
        <w:t>(f) Creates this subsection from existing text and makes a conforming change.</w:t>
      </w:r>
    </w:p>
    <w:p w:rsidR="002F6C7C" w:rsidRPr="002B3B91" w:rsidRDefault="002F6C7C" w:rsidP="002F6C7C">
      <w:pPr>
        <w:spacing w:after="0" w:line="240" w:lineRule="auto"/>
        <w:ind w:left="1440"/>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SECTION 9. Amends Article 56A.307, Code of Criminal Procedure, to make a conforming change.</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SECTION 10. Amends Article 56B.453(d), Code of Criminal Procedure, to conform to Section 5, Chapter 1037 (H.B. 616), Acts of the 86th Legislature, Regular Session, 2019, and amends it further, as follows:</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ind w:left="720"/>
        <w:jc w:val="both"/>
        <w:rPr>
          <w:rFonts w:cs="Times New Roman"/>
          <w:szCs w:val="24"/>
        </w:rPr>
      </w:pPr>
      <w:r w:rsidRPr="002B3B91">
        <w:rPr>
          <w:rFonts w:cs="Times New Roman"/>
          <w:szCs w:val="24"/>
        </w:rPr>
        <w:t>(d) Authorizes the attorney general to use the compensation to victims of crime fund to reimburse a health care provider or a sexual assault examiner or sexual assault nurse examiner for certain costs of a forensic medical examination that are incurred by the provider or examiner under Subchapter F or G, Chapter 56A, as provided by those subchapters. Deletes existing text authorizing the attorney general to use the fund to reimburse a law enforcement agency for the reasonable costs of a forensic medical examination that are incurred by the agency.</w:t>
      </w:r>
    </w:p>
    <w:p w:rsidR="002F6C7C" w:rsidRPr="002B3B91" w:rsidRDefault="002F6C7C" w:rsidP="002F6C7C">
      <w:pPr>
        <w:spacing w:after="0" w:line="240" w:lineRule="auto"/>
        <w:ind w:left="720"/>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 xml:space="preserve">SECTION 11. Provides that, to the extent of any conflict, this Act prevails over another Act of the 87th Legislature, Regular Session, 2021, relating to nonsubstantive additions to and corrections in enacted codes. </w:t>
      </w:r>
    </w:p>
    <w:p w:rsidR="002F6C7C" w:rsidRPr="002B3B91" w:rsidRDefault="002F6C7C" w:rsidP="002F6C7C">
      <w:pPr>
        <w:spacing w:after="0" w:line="240" w:lineRule="auto"/>
        <w:jc w:val="both"/>
        <w:rPr>
          <w:rFonts w:cs="Times New Roman"/>
          <w:szCs w:val="24"/>
        </w:rPr>
      </w:pPr>
    </w:p>
    <w:p w:rsidR="002F6C7C" w:rsidRPr="002B3B91" w:rsidRDefault="002F6C7C" w:rsidP="002F6C7C">
      <w:pPr>
        <w:spacing w:after="0" w:line="240" w:lineRule="auto"/>
        <w:jc w:val="both"/>
        <w:rPr>
          <w:rFonts w:cs="Times New Roman"/>
          <w:szCs w:val="24"/>
        </w:rPr>
      </w:pPr>
      <w:r w:rsidRPr="002B3B91">
        <w:rPr>
          <w:rFonts w:cs="Times New Roman"/>
          <w:szCs w:val="24"/>
        </w:rPr>
        <w:t>SECTION 12. Makes application of this Act prospective.</w:t>
      </w:r>
    </w:p>
    <w:p w:rsidR="002F6C7C" w:rsidRPr="002B3B91" w:rsidRDefault="002F6C7C" w:rsidP="002F6C7C">
      <w:pPr>
        <w:spacing w:after="0" w:line="240" w:lineRule="auto"/>
        <w:jc w:val="both"/>
        <w:rPr>
          <w:rFonts w:cs="Times New Roman"/>
          <w:szCs w:val="24"/>
        </w:rPr>
      </w:pPr>
    </w:p>
    <w:p w:rsidR="002F6C7C" w:rsidRPr="0026492B" w:rsidRDefault="002F6C7C" w:rsidP="002F6C7C">
      <w:pPr>
        <w:spacing w:after="0" w:line="240" w:lineRule="auto"/>
        <w:jc w:val="both"/>
      </w:pPr>
      <w:r w:rsidRPr="002B3B91">
        <w:rPr>
          <w:rFonts w:cs="Times New Roman"/>
          <w:szCs w:val="24"/>
        </w:rPr>
        <w:t>SECTION 13. Effective date: September 1, 2021.</w:t>
      </w:r>
    </w:p>
    <w:sectPr w:rsidR="002F6C7C" w:rsidRPr="0026492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22" w:rsidRDefault="00DE3322" w:rsidP="000F1DF9">
      <w:pPr>
        <w:spacing w:after="0" w:line="240" w:lineRule="auto"/>
      </w:pPr>
      <w:r>
        <w:separator/>
      </w:r>
    </w:p>
  </w:endnote>
  <w:endnote w:type="continuationSeparator" w:id="0">
    <w:p w:rsidR="00DE3322" w:rsidRDefault="00DE33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33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6C7C">
                <w:rPr>
                  <w:sz w:val="20"/>
                  <w:szCs w:val="20"/>
                </w:rPr>
                <w:t>DLL,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6C7C">
                <w:rPr>
                  <w:sz w:val="20"/>
                  <w:szCs w:val="20"/>
                </w:rPr>
                <w:t>C.S.H.B. 2462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6C7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33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6C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6C7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22" w:rsidRDefault="00DE3322" w:rsidP="000F1DF9">
      <w:pPr>
        <w:spacing w:after="0" w:line="240" w:lineRule="auto"/>
      </w:pPr>
      <w:r>
        <w:separator/>
      </w:r>
    </w:p>
  </w:footnote>
  <w:footnote w:type="continuationSeparator" w:id="0">
    <w:p w:rsidR="00DE3322" w:rsidRDefault="00DE33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6C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332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0879"/>
  <w15:docId w15:val="{26F611CA-B549-456F-8A2A-0E0E5C8A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C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B28DDF6DA64C3582FBA634A555E474"/>
        <w:category>
          <w:name w:val="General"/>
          <w:gallery w:val="placeholder"/>
        </w:category>
        <w:types>
          <w:type w:val="bbPlcHdr"/>
        </w:types>
        <w:behaviors>
          <w:behavior w:val="content"/>
        </w:behaviors>
        <w:guid w:val="{1D8560C0-FF6A-420E-9F79-A4ECB6A9BC4B}"/>
      </w:docPartPr>
      <w:docPartBody>
        <w:p w:rsidR="00000000" w:rsidRDefault="00CE3167"/>
      </w:docPartBody>
    </w:docPart>
    <w:docPart>
      <w:docPartPr>
        <w:name w:val="C373A01005EE46E0A2691E1A9E54E75A"/>
        <w:category>
          <w:name w:val="General"/>
          <w:gallery w:val="placeholder"/>
        </w:category>
        <w:types>
          <w:type w:val="bbPlcHdr"/>
        </w:types>
        <w:behaviors>
          <w:behavior w:val="content"/>
        </w:behaviors>
        <w:guid w:val="{61673755-532D-444E-8964-E8ED9EA1303F}"/>
      </w:docPartPr>
      <w:docPartBody>
        <w:p w:rsidR="00000000" w:rsidRDefault="00CE3167"/>
      </w:docPartBody>
    </w:docPart>
    <w:docPart>
      <w:docPartPr>
        <w:name w:val="E6F608DF10BD43408C954BC6F92FABC5"/>
        <w:category>
          <w:name w:val="General"/>
          <w:gallery w:val="placeholder"/>
        </w:category>
        <w:types>
          <w:type w:val="bbPlcHdr"/>
        </w:types>
        <w:behaviors>
          <w:behavior w:val="content"/>
        </w:behaviors>
        <w:guid w:val="{FB65D5D9-6002-459B-9E45-4DC53003AEC5}"/>
      </w:docPartPr>
      <w:docPartBody>
        <w:p w:rsidR="00000000" w:rsidRDefault="00CE3167"/>
      </w:docPartBody>
    </w:docPart>
    <w:docPart>
      <w:docPartPr>
        <w:name w:val="761BE37C5BC64E98A5BCB19F6DAA3D51"/>
        <w:category>
          <w:name w:val="General"/>
          <w:gallery w:val="placeholder"/>
        </w:category>
        <w:types>
          <w:type w:val="bbPlcHdr"/>
        </w:types>
        <w:behaviors>
          <w:behavior w:val="content"/>
        </w:behaviors>
        <w:guid w:val="{4FB1F7AF-73BD-435E-9E08-A18412D2106C}"/>
      </w:docPartPr>
      <w:docPartBody>
        <w:p w:rsidR="00000000" w:rsidRDefault="00CE3167"/>
      </w:docPartBody>
    </w:docPart>
    <w:docPart>
      <w:docPartPr>
        <w:name w:val="128422D940B34404B33545337262B271"/>
        <w:category>
          <w:name w:val="General"/>
          <w:gallery w:val="placeholder"/>
        </w:category>
        <w:types>
          <w:type w:val="bbPlcHdr"/>
        </w:types>
        <w:behaviors>
          <w:behavior w:val="content"/>
        </w:behaviors>
        <w:guid w:val="{B383E5B6-EB5E-438F-865F-841D877F67EA}"/>
      </w:docPartPr>
      <w:docPartBody>
        <w:p w:rsidR="00000000" w:rsidRDefault="00CE3167"/>
      </w:docPartBody>
    </w:docPart>
    <w:docPart>
      <w:docPartPr>
        <w:name w:val="13C5875A24DB499C8446ED306C22927F"/>
        <w:category>
          <w:name w:val="General"/>
          <w:gallery w:val="placeholder"/>
        </w:category>
        <w:types>
          <w:type w:val="bbPlcHdr"/>
        </w:types>
        <w:behaviors>
          <w:behavior w:val="content"/>
        </w:behaviors>
        <w:guid w:val="{26D88704-E91B-4F90-BE6D-655D5A11DB26}"/>
      </w:docPartPr>
      <w:docPartBody>
        <w:p w:rsidR="00000000" w:rsidRDefault="00CE3167"/>
      </w:docPartBody>
    </w:docPart>
    <w:docPart>
      <w:docPartPr>
        <w:name w:val="CC28C109366F4F5FB0707B8FE61FE62F"/>
        <w:category>
          <w:name w:val="General"/>
          <w:gallery w:val="placeholder"/>
        </w:category>
        <w:types>
          <w:type w:val="bbPlcHdr"/>
        </w:types>
        <w:behaviors>
          <w:behavior w:val="content"/>
        </w:behaviors>
        <w:guid w:val="{4AF40BF8-1193-449C-AD57-FB69A274153F}"/>
      </w:docPartPr>
      <w:docPartBody>
        <w:p w:rsidR="00000000" w:rsidRDefault="00CE3167"/>
      </w:docPartBody>
    </w:docPart>
    <w:docPart>
      <w:docPartPr>
        <w:name w:val="9E3AAE35916843B9A5529AA9C35F897D"/>
        <w:category>
          <w:name w:val="General"/>
          <w:gallery w:val="placeholder"/>
        </w:category>
        <w:types>
          <w:type w:val="bbPlcHdr"/>
        </w:types>
        <w:behaviors>
          <w:behavior w:val="content"/>
        </w:behaviors>
        <w:guid w:val="{3965D775-2FF6-4010-9C3D-A2553E487019}"/>
      </w:docPartPr>
      <w:docPartBody>
        <w:p w:rsidR="00000000" w:rsidRDefault="00CE3167"/>
      </w:docPartBody>
    </w:docPart>
    <w:docPart>
      <w:docPartPr>
        <w:name w:val="DF9230D4B35947ECAB734454ED76CF77"/>
        <w:category>
          <w:name w:val="General"/>
          <w:gallery w:val="placeholder"/>
        </w:category>
        <w:types>
          <w:type w:val="bbPlcHdr"/>
        </w:types>
        <w:behaviors>
          <w:behavior w:val="content"/>
        </w:behaviors>
        <w:guid w:val="{FB3FE4BB-60D0-4A98-837F-5DE8EC8D5651}"/>
      </w:docPartPr>
      <w:docPartBody>
        <w:p w:rsidR="00000000" w:rsidRDefault="00CE3167"/>
      </w:docPartBody>
    </w:docPart>
    <w:docPart>
      <w:docPartPr>
        <w:name w:val="1B6F373E06914F1098B29E914906E686"/>
        <w:category>
          <w:name w:val="General"/>
          <w:gallery w:val="placeholder"/>
        </w:category>
        <w:types>
          <w:type w:val="bbPlcHdr"/>
        </w:types>
        <w:behaviors>
          <w:behavior w:val="content"/>
        </w:behaviors>
        <w:guid w:val="{3B2E875A-301B-4174-BE8C-B319AFABF1BD}"/>
      </w:docPartPr>
      <w:docPartBody>
        <w:p w:rsidR="00000000" w:rsidRDefault="008B420E" w:rsidP="008B420E">
          <w:pPr>
            <w:pStyle w:val="1B6F373E06914F1098B29E914906E686"/>
          </w:pPr>
          <w:r w:rsidRPr="00A30DD1">
            <w:rPr>
              <w:rStyle w:val="PlaceholderText"/>
            </w:rPr>
            <w:t>Click here to enter a date.</w:t>
          </w:r>
        </w:p>
      </w:docPartBody>
    </w:docPart>
    <w:docPart>
      <w:docPartPr>
        <w:name w:val="66537D6846344646A0DCCBE546A674EB"/>
        <w:category>
          <w:name w:val="General"/>
          <w:gallery w:val="placeholder"/>
        </w:category>
        <w:types>
          <w:type w:val="bbPlcHdr"/>
        </w:types>
        <w:behaviors>
          <w:behavior w:val="content"/>
        </w:behaviors>
        <w:guid w:val="{8684933D-9355-47F3-8243-0EB11D9A595E}"/>
      </w:docPartPr>
      <w:docPartBody>
        <w:p w:rsidR="00000000" w:rsidRDefault="00CE3167"/>
      </w:docPartBody>
    </w:docPart>
    <w:docPart>
      <w:docPartPr>
        <w:name w:val="62C6FA1E26F541AE8E6C1D5E8AC52555"/>
        <w:category>
          <w:name w:val="General"/>
          <w:gallery w:val="placeholder"/>
        </w:category>
        <w:types>
          <w:type w:val="bbPlcHdr"/>
        </w:types>
        <w:behaviors>
          <w:behavior w:val="content"/>
        </w:behaviors>
        <w:guid w:val="{E9433C97-612A-4D7F-9732-724FC6AA6F97}"/>
      </w:docPartPr>
      <w:docPartBody>
        <w:p w:rsidR="00000000" w:rsidRDefault="00CE3167"/>
      </w:docPartBody>
    </w:docPart>
    <w:docPart>
      <w:docPartPr>
        <w:name w:val="204CA2475B3541718901F16595C270B2"/>
        <w:category>
          <w:name w:val="General"/>
          <w:gallery w:val="placeholder"/>
        </w:category>
        <w:types>
          <w:type w:val="bbPlcHdr"/>
        </w:types>
        <w:behaviors>
          <w:behavior w:val="content"/>
        </w:behaviors>
        <w:guid w:val="{1B01BB80-3753-407D-87F8-B713A04255EC}"/>
      </w:docPartPr>
      <w:docPartBody>
        <w:p w:rsidR="00000000" w:rsidRDefault="008B420E" w:rsidP="008B420E">
          <w:pPr>
            <w:pStyle w:val="204CA2475B3541718901F16595C270B2"/>
          </w:pPr>
          <w:r>
            <w:rPr>
              <w:rFonts w:eastAsia="Times New Roman" w:cs="Times New Roman"/>
              <w:bCs/>
              <w:szCs w:val="24"/>
            </w:rPr>
            <w:t xml:space="preserve"> </w:t>
          </w:r>
        </w:p>
      </w:docPartBody>
    </w:docPart>
    <w:docPart>
      <w:docPartPr>
        <w:name w:val="3B750B9EB7B24AEF989E78414156FB28"/>
        <w:category>
          <w:name w:val="General"/>
          <w:gallery w:val="placeholder"/>
        </w:category>
        <w:types>
          <w:type w:val="bbPlcHdr"/>
        </w:types>
        <w:behaviors>
          <w:behavior w:val="content"/>
        </w:behaviors>
        <w:guid w:val="{C96352BE-B0C7-4D4F-BD25-FB7B17BB32EF}"/>
      </w:docPartPr>
      <w:docPartBody>
        <w:p w:rsidR="00000000" w:rsidRDefault="00CE3167"/>
      </w:docPartBody>
    </w:docPart>
    <w:docPart>
      <w:docPartPr>
        <w:name w:val="F0678A3E55B943A3A3DE68417FBFE1E9"/>
        <w:category>
          <w:name w:val="General"/>
          <w:gallery w:val="placeholder"/>
        </w:category>
        <w:types>
          <w:type w:val="bbPlcHdr"/>
        </w:types>
        <w:behaviors>
          <w:behavior w:val="content"/>
        </w:behaviors>
        <w:guid w:val="{179C9137-CD2E-4508-B82C-0345E93067AD}"/>
      </w:docPartPr>
      <w:docPartBody>
        <w:p w:rsidR="00000000" w:rsidRDefault="00CE31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420E"/>
    <w:rsid w:val="008C55F7"/>
    <w:rsid w:val="0090598B"/>
    <w:rsid w:val="00984D6C"/>
    <w:rsid w:val="00A54AD6"/>
    <w:rsid w:val="00A57564"/>
    <w:rsid w:val="00B252A4"/>
    <w:rsid w:val="00B5530B"/>
    <w:rsid w:val="00C129E8"/>
    <w:rsid w:val="00C968BA"/>
    <w:rsid w:val="00CE316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2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6F373E06914F1098B29E914906E686">
    <w:name w:val="1B6F373E06914F1098B29E914906E686"/>
    <w:rsid w:val="008B420E"/>
    <w:pPr>
      <w:spacing w:after="160" w:line="259" w:lineRule="auto"/>
    </w:pPr>
  </w:style>
  <w:style w:type="paragraph" w:customStyle="1" w:styleId="204CA2475B3541718901F16595C270B2">
    <w:name w:val="204CA2475B3541718901F16595C270B2"/>
    <w:rsid w:val="008B42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8153C3-46B5-498C-B4F2-10505D6B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2143</Words>
  <Characters>12219</Characters>
  <Application>Microsoft Office Word</Application>
  <DocSecurity>0</DocSecurity>
  <Lines>101</Lines>
  <Paragraphs>28</Paragraphs>
  <ScaleCrop>false</ScaleCrop>
  <Company>Texas Legislative Council</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2021-05-20T04:51:00Z</cp:lastPrinted>
  <dcterms:created xsi:type="dcterms:W3CDTF">2015-05-29T14:24:00Z</dcterms:created>
  <dcterms:modified xsi:type="dcterms:W3CDTF">2021-05-20T04:51:00Z</dcterms:modified>
</cp:coreProperties>
</file>

<file path=docProps/custom.xml><?xml version="1.0" encoding="utf-8"?>
<op:Properties xmlns:vt="http://schemas.openxmlformats.org/officeDocument/2006/docPropsVTypes" xmlns:op="http://schemas.openxmlformats.org/officeDocument/2006/custom-properties"/>
</file>