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37A41" w14:paraId="09AD5436" w14:textId="77777777" w:rsidTr="00345119">
        <w:tc>
          <w:tcPr>
            <w:tcW w:w="9576" w:type="dxa"/>
            <w:noWrap/>
          </w:tcPr>
          <w:p w14:paraId="19C730F1" w14:textId="77777777" w:rsidR="008423E4" w:rsidRPr="0022177D" w:rsidRDefault="0018519F" w:rsidP="001F558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9845A1B" w14:textId="77777777" w:rsidR="008423E4" w:rsidRPr="0022177D" w:rsidRDefault="008423E4" w:rsidP="001F5580">
      <w:pPr>
        <w:jc w:val="center"/>
      </w:pPr>
    </w:p>
    <w:p w14:paraId="4581AA61" w14:textId="77777777" w:rsidR="008423E4" w:rsidRPr="00B31F0E" w:rsidRDefault="008423E4" w:rsidP="001F5580"/>
    <w:p w14:paraId="1A722CA6" w14:textId="77777777" w:rsidR="008423E4" w:rsidRPr="00742794" w:rsidRDefault="008423E4" w:rsidP="001F558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7A41" w14:paraId="6E873488" w14:textId="77777777" w:rsidTr="00345119">
        <w:tc>
          <w:tcPr>
            <w:tcW w:w="9576" w:type="dxa"/>
          </w:tcPr>
          <w:p w14:paraId="292794E1" w14:textId="288D84B1" w:rsidR="008423E4" w:rsidRPr="00861995" w:rsidRDefault="0018519F" w:rsidP="001F5580">
            <w:pPr>
              <w:jc w:val="right"/>
            </w:pPr>
            <w:r>
              <w:t>C.S.H.B. 2483</w:t>
            </w:r>
          </w:p>
        </w:tc>
      </w:tr>
      <w:tr w:rsidR="00037A41" w14:paraId="4E64985E" w14:textId="77777777" w:rsidTr="00345119">
        <w:tc>
          <w:tcPr>
            <w:tcW w:w="9576" w:type="dxa"/>
          </w:tcPr>
          <w:p w14:paraId="53F73978" w14:textId="56B13FC6" w:rsidR="008423E4" w:rsidRPr="00861995" w:rsidRDefault="0018519F" w:rsidP="001F5580">
            <w:pPr>
              <w:jc w:val="right"/>
            </w:pPr>
            <w:r>
              <w:t xml:space="preserve">By: </w:t>
            </w:r>
            <w:r w:rsidR="00361A56">
              <w:t>King, Phil</w:t>
            </w:r>
          </w:p>
        </w:tc>
      </w:tr>
      <w:tr w:rsidR="00037A41" w14:paraId="2FF320B1" w14:textId="77777777" w:rsidTr="00345119">
        <w:tc>
          <w:tcPr>
            <w:tcW w:w="9576" w:type="dxa"/>
          </w:tcPr>
          <w:p w14:paraId="04363DF2" w14:textId="371F8A11" w:rsidR="008423E4" w:rsidRPr="00861995" w:rsidRDefault="0018519F" w:rsidP="001F5580">
            <w:pPr>
              <w:jc w:val="right"/>
            </w:pPr>
            <w:r>
              <w:t>State Affairs</w:t>
            </w:r>
          </w:p>
        </w:tc>
      </w:tr>
      <w:tr w:rsidR="00037A41" w14:paraId="525876F4" w14:textId="77777777" w:rsidTr="00345119">
        <w:tc>
          <w:tcPr>
            <w:tcW w:w="9576" w:type="dxa"/>
          </w:tcPr>
          <w:p w14:paraId="1D39ED7C" w14:textId="7F5A456E" w:rsidR="008423E4" w:rsidRDefault="0018519F" w:rsidP="001F5580">
            <w:pPr>
              <w:jc w:val="right"/>
            </w:pPr>
            <w:r>
              <w:t>Committee Report (Substituted)</w:t>
            </w:r>
          </w:p>
        </w:tc>
      </w:tr>
    </w:tbl>
    <w:p w14:paraId="26D83E5E" w14:textId="77777777" w:rsidR="008423E4" w:rsidRDefault="008423E4" w:rsidP="001F5580">
      <w:pPr>
        <w:tabs>
          <w:tab w:val="right" w:pos="9360"/>
        </w:tabs>
      </w:pPr>
    </w:p>
    <w:p w14:paraId="50DD59D0" w14:textId="77777777" w:rsidR="008423E4" w:rsidRDefault="008423E4" w:rsidP="001F5580"/>
    <w:p w14:paraId="56CB6D35" w14:textId="77777777" w:rsidR="008423E4" w:rsidRDefault="008423E4" w:rsidP="001F558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37A41" w14:paraId="2347E407" w14:textId="77777777" w:rsidTr="00345119">
        <w:tc>
          <w:tcPr>
            <w:tcW w:w="9576" w:type="dxa"/>
          </w:tcPr>
          <w:p w14:paraId="552972A1" w14:textId="77777777" w:rsidR="008423E4" w:rsidRPr="00A8133F" w:rsidRDefault="0018519F" w:rsidP="001F55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21F654D" w14:textId="77777777" w:rsidR="008423E4" w:rsidRDefault="008423E4" w:rsidP="001F5580"/>
          <w:p w14:paraId="797E1A81" w14:textId="6461587F" w:rsidR="008423E4" w:rsidRDefault="0018519F" w:rsidP="001F5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7080F">
              <w:t xml:space="preserve">Widespread electricity outages can have significant impacts on </w:t>
            </w:r>
            <w:r w:rsidR="00021977">
              <w:t xml:space="preserve">electric utility </w:t>
            </w:r>
            <w:r w:rsidRPr="0027080F">
              <w:t xml:space="preserve">customers </w:t>
            </w:r>
            <w:r w:rsidR="00021977">
              <w:t>across Texas</w:t>
            </w:r>
            <w:r w:rsidRPr="0027080F">
              <w:t xml:space="preserve">. Recent hurricanes and winter storm events have </w:t>
            </w:r>
            <w:r w:rsidR="00021977">
              <w:t>demonstrated</w:t>
            </w:r>
            <w:r w:rsidR="00021977" w:rsidRPr="0027080F">
              <w:t xml:space="preserve"> </w:t>
            </w:r>
            <w:r w:rsidRPr="0027080F">
              <w:t xml:space="preserve">the need for </w:t>
            </w:r>
            <w:r w:rsidR="00021977">
              <w:t xml:space="preserve">additional </w:t>
            </w:r>
            <w:r w:rsidR="006B0F2C">
              <w:t>tools</w:t>
            </w:r>
            <w:r w:rsidR="00021977">
              <w:t xml:space="preserve"> </w:t>
            </w:r>
            <w:r w:rsidR="006B0F2C">
              <w:t>to help</w:t>
            </w:r>
            <w:r w:rsidR="00021977">
              <w:t xml:space="preserve"> </w:t>
            </w:r>
            <w:r w:rsidRPr="0027080F">
              <w:t xml:space="preserve">transmission and distribution </w:t>
            </w:r>
            <w:r w:rsidR="00F36612">
              <w:t xml:space="preserve">utilities </w:t>
            </w:r>
            <w:r w:rsidRPr="0027080F">
              <w:t xml:space="preserve">avoid or reduce the duration or impact of such outages. </w:t>
            </w:r>
            <w:r w:rsidR="00955A65">
              <w:t>Additionally, t</w:t>
            </w:r>
            <w:r w:rsidRPr="0027080F">
              <w:t>he potential for physical or cybersecurity ev</w:t>
            </w:r>
            <w:r w:rsidRPr="0027080F">
              <w:t xml:space="preserve">ents impacting electric service </w:t>
            </w:r>
            <w:r w:rsidR="00955A65">
              <w:t>further demonstrates the need for</w:t>
            </w:r>
            <w:r w:rsidRPr="0027080F">
              <w:t xml:space="preserve"> </w:t>
            </w:r>
            <w:r w:rsidR="00021977">
              <w:t>these</w:t>
            </w:r>
            <w:r w:rsidR="00021977" w:rsidRPr="0027080F">
              <w:t xml:space="preserve"> </w:t>
            </w:r>
            <w:r w:rsidR="006B0F2C">
              <w:t>options</w:t>
            </w:r>
            <w:r w:rsidRPr="0027080F">
              <w:t>.</w:t>
            </w:r>
            <w:r>
              <w:t xml:space="preserve"> </w:t>
            </w:r>
            <w:r w:rsidR="006B0F2C">
              <w:t xml:space="preserve">There have been calls to provide these utilities with </w:t>
            </w:r>
            <w:r w:rsidR="00F36612">
              <w:t>the ability</w:t>
            </w:r>
            <w:r w:rsidR="006B0F2C">
              <w:t xml:space="preserve"> to </w:t>
            </w:r>
            <w:r w:rsidR="00F36612">
              <w:t>use</w:t>
            </w:r>
            <w:r w:rsidR="006B0F2C">
              <w:t xml:space="preserve"> </w:t>
            </w:r>
            <w:r w:rsidR="00015F96">
              <w:t xml:space="preserve">certain </w:t>
            </w:r>
            <w:r w:rsidRPr="0027080F">
              <w:t>facilities to restore service after a widespread outage.</w:t>
            </w:r>
            <w:r>
              <w:t xml:space="preserve"> </w:t>
            </w:r>
            <w:r w:rsidR="00675A7D">
              <w:t>C.S.</w:t>
            </w:r>
            <w:r w:rsidRPr="0027080F">
              <w:t>H</w:t>
            </w:r>
            <w:r w:rsidR="00021977">
              <w:t>.</w:t>
            </w:r>
            <w:r w:rsidRPr="0027080F">
              <w:t>B</w:t>
            </w:r>
            <w:r w:rsidR="00021977">
              <w:t>.</w:t>
            </w:r>
            <w:r w:rsidR="003211BA">
              <w:t> </w:t>
            </w:r>
            <w:r w:rsidRPr="0027080F">
              <w:t>2483</w:t>
            </w:r>
            <w:r w:rsidR="00021977">
              <w:t xml:space="preserve"> seeks to </w:t>
            </w:r>
            <w:r w:rsidR="00015F96">
              <w:t>address this issue</w:t>
            </w:r>
            <w:r w:rsidRPr="0027080F">
              <w:t xml:space="preserve"> </w:t>
            </w:r>
            <w:r w:rsidR="00021977">
              <w:t>by authorizing</w:t>
            </w:r>
            <w:r w:rsidRPr="0027080F">
              <w:t xml:space="preserve"> a transmission and distribution utility </w:t>
            </w:r>
            <w:r w:rsidR="00021977">
              <w:t>to</w:t>
            </w:r>
            <w:r w:rsidR="00021977" w:rsidRPr="0027080F">
              <w:t xml:space="preserve"> </w:t>
            </w:r>
            <w:r w:rsidRPr="0027080F">
              <w:t>lease or own and operate facilities providing temporary, emergency electric energy to aid in the restoration of electric service during a widespread outage</w:t>
            </w:r>
            <w:r w:rsidR="00021977">
              <w:t>.</w:t>
            </w:r>
          </w:p>
          <w:p w14:paraId="75CBB767" w14:textId="77777777" w:rsidR="008423E4" w:rsidRPr="00E26B13" w:rsidRDefault="008423E4" w:rsidP="001F5580">
            <w:pPr>
              <w:rPr>
                <w:b/>
              </w:rPr>
            </w:pPr>
          </w:p>
        </w:tc>
      </w:tr>
      <w:tr w:rsidR="00037A41" w14:paraId="51C8C5CE" w14:textId="77777777" w:rsidTr="00345119">
        <w:tc>
          <w:tcPr>
            <w:tcW w:w="9576" w:type="dxa"/>
          </w:tcPr>
          <w:p w14:paraId="1803B2E4" w14:textId="77777777" w:rsidR="0017725B" w:rsidRDefault="0018519F" w:rsidP="001F55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0F2A034" w14:textId="77777777" w:rsidR="0017725B" w:rsidRDefault="0017725B" w:rsidP="001F5580">
            <w:pPr>
              <w:rPr>
                <w:b/>
                <w:u w:val="single"/>
              </w:rPr>
            </w:pPr>
          </w:p>
          <w:p w14:paraId="56F8E0C0" w14:textId="77777777" w:rsidR="00FF607B" w:rsidRPr="00FF607B" w:rsidRDefault="0018519F" w:rsidP="001F5580">
            <w:pPr>
              <w:jc w:val="both"/>
            </w:pPr>
            <w:r>
              <w:t>It is th</w:t>
            </w:r>
            <w:r>
              <w:t>e committee's opinion that this bill does not expressly create a criminal offense, increase the punishment for an existing criminal offense or category of offenses, or change the eligibility of a person for community supervision, parole, or mandatory super</w:t>
            </w:r>
            <w:r>
              <w:t>vision.</w:t>
            </w:r>
          </w:p>
          <w:p w14:paraId="24D31B3D" w14:textId="77777777" w:rsidR="0017725B" w:rsidRPr="0017725B" w:rsidRDefault="0017725B" w:rsidP="001F5580">
            <w:pPr>
              <w:rPr>
                <w:b/>
                <w:u w:val="single"/>
              </w:rPr>
            </w:pPr>
          </w:p>
        </w:tc>
      </w:tr>
      <w:tr w:rsidR="00037A41" w14:paraId="3A74A6FD" w14:textId="77777777" w:rsidTr="00345119">
        <w:tc>
          <w:tcPr>
            <w:tcW w:w="9576" w:type="dxa"/>
          </w:tcPr>
          <w:p w14:paraId="1E595717" w14:textId="77777777" w:rsidR="008423E4" w:rsidRPr="00A8133F" w:rsidRDefault="0018519F" w:rsidP="001F55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6ECC5E" w14:textId="77777777" w:rsidR="008423E4" w:rsidRDefault="008423E4" w:rsidP="001F5580"/>
          <w:p w14:paraId="09A32923" w14:textId="77777777" w:rsidR="00FF607B" w:rsidRDefault="0018519F" w:rsidP="001F5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36DE846" w14:textId="77777777" w:rsidR="008423E4" w:rsidRPr="00E21FDC" w:rsidRDefault="008423E4" w:rsidP="001F5580">
            <w:pPr>
              <w:rPr>
                <w:b/>
              </w:rPr>
            </w:pPr>
          </w:p>
        </w:tc>
      </w:tr>
      <w:tr w:rsidR="00037A41" w14:paraId="6205CFCC" w14:textId="77777777" w:rsidTr="00345119">
        <w:tc>
          <w:tcPr>
            <w:tcW w:w="9576" w:type="dxa"/>
          </w:tcPr>
          <w:p w14:paraId="2836FE6B" w14:textId="77777777" w:rsidR="008423E4" w:rsidRPr="00A8133F" w:rsidRDefault="0018519F" w:rsidP="001F55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0CB25C9" w14:textId="77777777" w:rsidR="008423E4" w:rsidRDefault="008423E4" w:rsidP="001F5580"/>
          <w:p w14:paraId="353C1161" w14:textId="60E49412" w:rsidR="00571556" w:rsidRDefault="0018519F" w:rsidP="001F5580">
            <w:pPr>
              <w:pStyle w:val="Header"/>
              <w:jc w:val="both"/>
            </w:pPr>
            <w:r>
              <w:t>C.S.</w:t>
            </w:r>
            <w:r w:rsidR="0003094F">
              <w:t xml:space="preserve">H.B. 2483 amends the </w:t>
            </w:r>
            <w:r w:rsidR="0003094F" w:rsidRPr="0003094F">
              <w:t>Utilities Code</w:t>
            </w:r>
            <w:r w:rsidR="0003094F">
              <w:t xml:space="preserve"> to authorize a </w:t>
            </w:r>
            <w:r w:rsidR="0003094F" w:rsidRPr="0003094F">
              <w:t>transmission and distribution utility</w:t>
            </w:r>
            <w:r w:rsidR="0003094F">
              <w:t xml:space="preserve"> to </w:t>
            </w:r>
            <w:r>
              <w:t>do the following:</w:t>
            </w:r>
          </w:p>
          <w:p w14:paraId="485BF7CE" w14:textId="724CEAC2" w:rsidR="00571556" w:rsidRDefault="0018519F" w:rsidP="001F5580">
            <w:pPr>
              <w:pStyle w:val="Header"/>
              <w:numPr>
                <w:ilvl w:val="0"/>
                <w:numId w:val="1"/>
              </w:numPr>
              <w:jc w:val="both"/>
            </w:pPr>
            <w:r w:rsidRPr="0003094F">
              <w:t>lease and operate</w:t>
            </w:r>
            <w:r>
              <w:t xml:space="preserve"> </w:t>
            </w:r>
            <w:r w:rsidRPr="0003094F">
              <w:t>facilities that provide temporary emergency electric energy to</w:t>
            </w:r>
            <w:r>
              <w:t xml:space="preserve"> </w:t>
            </w:r>
            <w:r w:rsidRPr="0003094F">
              <w:t xml:space="preserve">aid in </w:t>
            </w:r>
            <w:r w:rsidR="0027080F">
              <w:t xml:space="preserve">restoring </w:t>
            </w:r>
            <w:r w:rsidR="00B262E3">
              <w:t>power</w:t>
            </w:r>
            <w:r w:rsidRPr="0003094F">
              <w:t xml:space="preserve"> to </w:t>
            </w:r>
            <w:r w:rsidR="004E787B">
              <w:t>the utility's</w:t>
            </w:r>
            <w:r w:rsidRPr="0003094F">
              <w:t xml:space="preserve"> distribution customers</w:t>
            </w:r>
            <w:r>
              <w:t xml:space="preserve"> </w:t>
            </w:r>
            <w:r w:rsidRPr="0003094F">
              <w:t xml:space="preserve">during a widespread </w:t>
            </w:r>
            <w:r w:rsidR="00313594">
              <w:t xml:space="preserve">power </w:t>
            </w:r>
            <w:r w:rsidRPr="0003094F">
              <w:t>outage</w:t>
            </w:r>
            <w:r>
              <w:t>; and</w:t>
            </w:r>
          </w:p>
          <w:p w14:paraId="21860998" w14:textId="286983E5" w:rsidR="00970DF9" w:rsidRDefault="0018519F" w:rsidP="001F5580">
            <w:pPr>
              <w:pStyle w:val="Header"/>
              <w:numPr>
                <w:ilvl w:val="0"/>
                <w:numId w:val="1"/>
              </w:numPr>
              <w:jc w:val="both"/>
            </w:pPr>
            <w:r w:rsidRPr="0003094F">
              <w:t>procure</w:t>
            </w:r>
            <w:r w:rsidR="004E787B">
              <w:t xml:space="preserve">, </w:t>
            </w:r>
            <w:r w:rsidR="00160703">
              <w:t>own</w:t>
            </w:r>
            <w:r w:rsidR="00571556">
              <w:t>,</w:t>
            </w:r>
            <w:r w:rsidR="004E787B">
              <w:t xml:space="preserve"> and operate,</w:t>
            </w:r>
            <w:r w:rsidR="00571556">
              <w:t xml:space="preserve"> or enter into a cooperative agreement with other </w:t>
            </w:r>
            <w:r>
              <w:t xml:space="preserve">transmission and distribution </w:t>
            </w:r>
            <w:r w:rsidR="00571556">
              <w:t>utilities to</w:t>
            </w:r>
            <w:r w:rsidR="004E787B">
              <w:t xml:space="preserve"> p</w:t>
            </w:r>
            <w:r w:rsidR="00571556">
              <w:t>rocure</w:t>
            </w:r>
            <w:r w:rsidR="004E787B">
              <w:t xml:space="preserve">, </w:t>
            </w:r>
            <w:r w:rsidR="00571556">
              <w:t>own,</w:t>
            </w:r>
            <w:r w:rsidR="004E787B">
              <w:t xml:space="preserve"> and operate jointly,</w:t>
            </w:r>
            <w:r w:rsidR="00160703">
              <w:t xml:space="preserve"> </w:t>
            </w:r>
            <w:r w:rsidRPr="0003094F">
              <w:t>long lead time facilities that would aid</w:t>
            </w:r>
            <w:r>
              <w:t xml:space="preserve"> </w:t>
            </w:r>
            <w:r w:rsidRPr="0003094F">
              <w:t xml:space="preserve">in </w:t>
            </w:r>
            <w:r w:rsidR="001A1E12">
              <w:t xml:space="preserve">restoring power to the utility's distribution </w:t>
            </w:r>
            <w:r w:rsidRPr="0003094F">
              <w:t>customers f</w:t>
            </w:r>
            <w:r w:rsidRPr="0003094F">
              <w:t xml:space="preserve">ollowing </w:t>
            </w:r>
            <w:r w:rsidR="00571556">
              <w:t xml:space="preserve">such </w:t>
            </w:r>
            <w:r w:rsidRPr="0003094F">
              <w:t>a</w:t>
            </w:r>
            <w:r w:rsidR="00571556">
              <w:t>n</w:t>
            </w:r>
            <w:r w:rsidRPr="0003094F">
              <w:t xml:space="preserve"> outage.</w:t>
            </w:r>
          </w:p>
          <w:p w14:paraId="6C7584D5" w14:textId="535E3EAF" w:rsidR="00BC7641" w:rsidRDefault="0018519F" w:rsidP="001F5580">
            <w:pPr>
              <w:pStyle w:val="Header"/>
              <w:jc w:val="both"/>
            </w:pPr>
            <w:r>
              <w:t xml:space="preserve">The bill prohibits a utility that leases and operates </w:t>
            </w:r>
            <w:r w:rsidRPr="00970DF9">
              <w:t xml:space="preserve">facilities that provide temporary emergency electric energy to aid in restoring service to the utility's distribution customers during a widespread </w:t>
            </w:r>
            <w:r w:rsidR="00313594">
              <w:t xml:space="preserve">power </w:t>
            </w:r>
            <w:r w:rsidRPr="00970DF9">
              <w:t>outage</w:t>
            </w:r>
            <w:r>
              <w:t xml:space="preserve"> from selling ele</w:t>
            </w:r>
            <w:r>
              <w:t xml:space="preserve">ctric energy or ancillary services from those facilities. The bill requires </w:t>
            </w:r>
            <w:r w:rsidR="00B262E3">
              <w:t>such</w:t>
            </w:r>
            <w:r>
              <w:t xml:space="preserve"> </w:t>
            </w:r>
            <w:r w:rsidR="00B262E3">
              <w:t xml:space="preserve">a </w:t>
            </w:r>
            <w:r>
              <w:t xml:space="preserve">utility </w:t>
            </w:r>
            <w:r w:rsidR="00B262E3">
              <w:t xml:space="preserve">or a utility that procures, owns, and operates long lead </w:t>
            </w:r>
            <w:r w:rsidR="00CE6DB6">
              <w:t xml:space="preserve">time </w:t>
            </w:r>
            <w:r w:rsidR="00B262E3">
              <w:t>facilities that would aid in restoring power to the utility's distribution customers following a widespread power outage to include in the utility's emergency operations plan filed with the Public Utility Commission of Texas (PUC) a detailed plan on the utility's use of those facilities.</w:t>
            </w:r>
          </w:p>
          <w:p w14:paraId="7565CE3C" w14:textId="77777777" w:rsidR="0064627D" w:rsidRDefault="0064627D" w:rsidP="001F5580">
            <w:pPr>
              <w:pStyle w:val="Header"/>
              <w:jc w:val="both"/>
            </w:pPr>
          </w:p>
          <w:p w14:paraId="4C8FB039" w14:textId="3C774B2E" w:rsidR="0064627D" w:rsidRDefault="0018519F" w:rsidP="001F5580">
            <w:pPr>
              <w:pStyle w:val="Header"/>
              <w:jc w:val="both"/>
            </w:pPr>
            <w:r>
              <w:t>C.S.H.B. 2483</w:t>
            </w:r>
            <w:r w:rsidR="00571556">
              <w:t xml:space="preserve"> </w:t>
            </w:r>
            <w:r w:rsidR="00BC7641">
              <w:t xml:space="preserve">requires the PUC to </w:t>
            </w:r>
            <w:r w:rsidR="00C30778">
              <w:t xml:space="preserve">authorize </w:t>
            </w:r>
            <w:r w:rsidR="00BC7641">
              <w:t xml:space="preserve">a </w:t>
            </w:r>
            <w:r w:rsidR="00944790">
              <w:t xml:space="preserve">transmission and distribution </w:t>
            </w:r>
            <w:r w:rsidR="00BC7641">
              <w:t xml:space="preserve">utility </w:t>
            </w:r>
            <w:r>
              <w:t>to do the following with respect to cost recovery:</w:t>
            </w:r>
          </w:p>
          <w:p w14:paraId="671A5298" w14:textId="5D11F42B" w:rsidR="0064627D" w:rsidRDefault="0018519F" w:rsidP="001F5580">
            <w:pPr>
              <w:pStyle w:val="Header"/>
              <w:numPr>
                <w:ilvl w:val="0"/>
                <w:numId w:val="2"/>
              </w:numPr>
              <w:jc w:val="both"/>
            </w:pPr>
            <w:r w:rsidRPr="00BC7641">
              <w:t xml:space="preserve">recover the </w:t>
            </w:r>
            <w:r w:rsidR="001A1E12">
              <w:t xml:space="preserve">reasonable and necessary </w:t>
            </w:r>
            <w:r w:rsidRPr="00BC7641">
              <w:t>costs of leasing</w:t>
            </w:r>
            <w:r w:rsidR="00EC1966">
              <w:t>, procuring,</w:t>
            </w:r>
            <w:r w:rsidRPr="00BC7641">
              <w:t xml:space="preserve"> </w:t>
            </w:r>
            <w:r w:rsidR="00EC1966">
              <w:t xml:space="preserve">owning, </w:t>
            </w:r>
            <w:r w:rsidRPr="00BC7641">
              <w:t xml:space="preserve">and </w:t>
            </w:r>
            <w:r w:rsidR="00EC1966">
              <w:t>operating</w:t>
            </w:r>
            <w:r w:rsidR="00154229">
              <w:t xml:space="preserve"> the facilities, </w:t>
            </w:r>
            <w:r w:rsidR="003A439E">
              <w:t xml:space="preserve">including the present value of future payments required under the lease, </w:t>
            </w:r>
            <w:r w:rsidR="00B023E0">
              <w:t xml:space="preserve">as applicable, </w:t>
            </w:r>
            <w:r w:rsidRPr="00BC7641">
              <w:t>using the rate of return on</w:t>
            </w:r>
            <w:r>
              <w:t xml:space="preserve"> </w:t>
            </w:r>
            <w:r w:rsidRPr="00BC7641">
              <w:t xml:space="preserve">investment established in the </w:t>
            </w:r>
            <w:r w:rsidR="00B023E0">
              <w:t xml:space="preserve">PUC's </w:t>
            </w:r>
            <w:r w:rsidRPr="00BC7641">
              <w:t xml:space="preserve">final order </w:t>
            </w:r>
            <w:r w:rsidR="00B023E0">
              <w:t>in</w:t>
            </w:r>
            <w:r w:rsidR="00B023E0" w:rsidRPr="00BC7641">
              <w:t xml:space="preserve"> </w:t>
            </w:r>
            <w:r w:rsidRPr="00BC7641">
              <w:t>the utility's most</w:t>
            </w:r>
            <w:r>
              <w:t xml:space="preserve"> </w:t>
            </w:r>
            <w:r w:rsidRPr="00BC7641">
              <w:t>recent base rate proceeding</w:t>
            </w:r>
            <w:r>
              <w:t>; and</w:t>
            </w:r>
          </w:p>
          <w:p w14:paraId="095A1F32" w14:textId="415F30EA" w:rsidR="0064627D" w:rsidRDefault="0018519F" w:rsidP="001F5580">
            <w:pPr>
              <w:pStyle w:val="Header"/>
              <w:numPr>
                <w:ilvl w:val="0"/>
                <w:numId w:val="2"/>
              </w:numPr>
              <w:jc w:val="both"/>
            </w:pPr>
            <w:r w:rsidRPr="00BC7641">
              <w:t>defer</w:t>
            </w:r>
            <w:r w:rsidR="00B023E0">
              <w:t xml:space="preserve"> for recovery in a future ratemaking proceeding the</w:t>
            </w:r>
            <w:r w:rsidRPr="00BC7641">
              <w:t xml:space="preserve"> incremental operations and maintenance expenses</w:t>
            </w:r>
            <w:r>
              <w:t xml:space="preserve"> </w:t>
            </w:r>
            <w:r w:rsidR="00B023E0">
              <w:t xml:space="preserve">and the return, not otherwise recovered in a rate proceeding, </w:t>
            </w:r>
            <w:r w:rsidRPr="00BC7641">
              <w:t xml:space="preserve">associated with the leasing or </w:t>
            </w:r>
            <w:r w:rsidR="00EC1966">
              <w:t xml:space="preserve">procurement, </w:t>
            </w:r>
            <w:r w:rsidRPr="00EB4249">
              <w:t>ownership</w:t>
            </w:r>
            <w:r w:rsidR="00EC1966">
              <w:t xml:space="preserve">, and operation </w:t>
            </w:r>
            <w:r w:rsidR="00944790">
              <w:t>of the facilities, as applicable</w:t>
            </w:r>
            <w:r w:rsidRPr="00BC7641">
              <w:t>.</w:t>
            </w:r>
            <w:r>
              <w:t xml:space="preserve"> </w:t>
            </w:r>
          </w:p>
          <w:p w14:paraId="6879E242" w14:textId="0C06892B" w:rsidR="00675A7D" w:rsidRDefault="0018519F" w:rsidP="001F5580">
            <w:pPr>
              <w:pStyle w:val="Header"/>
              <w:jc w:val="both"/>
            </w:pPr>
            <w:r>
              <w:t>The bill authorizes a</w:t>
            </w:r>
            <w:r w:rsidR="00B023E0">
              <w:t xml:space="preserve"> transmission and distribution</w:t>
            </w:r>
            <w:r>
              <w:t xml:space="preserve"> utility to request </w:t>
            </w:r>
            <w:r w:rsidRPr="00BC7641">
              <w:t xml:space="preserve">recovery of the </w:t>
            </w:r>
            <w:r w:rsidR="00B023E0">
              <w:t xml:space="preserve">reasonable and necessary </w:t>
            </w:r>
            <w:r w:rsidRPr="00BC7641">
              <w:t>costs</w:t>
            </w:r>
            <w:r w:rsidR="00EB4249">
              <w:t xml:space="preserve"> of leasing or </w:t>
            </w:r>
            <w:r w:rsidR="00B023E0">
              <w:t>procuring, owning, and operating the facilities</w:t>
            </w:r>
            <w:r>
              <w:t xml:space="preserve">, </w:t>
            </w:r>
            <w:r w:rsidRPr="00BC7641">
              <w:t>including any deferred expenses,</w:t>
            </w:r>
            <w:r>
              <w:t xml:space="preserve"> </w:t>
            </w:r>
            <w:r w:rsidRPr="00BC7641">
              <w:t xml:space="preserve">through a </w:t>
            </w:r>
            <w:r w:rsidR="00FF607B">
              <w:t xml:space="preserve">ratemaking proceeding. </w:t>
            </w:r>
            <w:r w:rsidR="00E002A7">
              <w:t xml:space="preserve">The bill requires a lease </w:t>
            </w:r>
            <w:r w:rsidR="00B023E0">
              <w:t xml:space="preserve">of </w:t>
            </w:r>
            <w:r w:rsidR="00B023E0" w:rsidRPr="00B023E0">
              <w:t xml:space="preserve">facilities that provide temporary emergency electric energy to aid in restoring power to the utility's distribution customers during a widespread power outage </w:t>
            </w:r>
            <w:r w:rsidR="00E002A7">
              <w:t xml:space="preserve">to </w:t>
            </w:r>
            <w:r w:rsidR="00E002A7" w:rsidRPr="00E002A7">
              <w:t>be treated as a capital lease or finance lease for ratemaking purposes.</w:t>
            </w:r>
          </w:p>
          <w:p w14:paraId="62D6B5B5" w14:textId="0FD4B7AE" w:rsidR="008423E4" w:rsidRPr="00835628" w:rsidRDefault="008423E4" w:rsidP="001F5580">
            <w:pPr>
              <w:pStyle w:val="Header"/>
              <w:jc w:val="both"/>
              <w:rPr>
                <w:b/>
              </w:rPr>
            </w:pPr>
          </w:p>
        </w:tc>
      </w:tr>
      <w:tr w:rsidR="00037A41" w14:paraId="460D4A3F" w14:textId="77777777" w:rsidTr="00345119">
        <w:tc>
          <w:tcPr>
            <w:tcW w:w="9576" w:type="dxa"/>
          </w:tcPr>
          <w:p w14:paraId="1401A64B" w14:textId="77777777" w:rsidR="008423E4" w:rsidRPr="00A8133F" w:rsidRDefault="0018519F" w:rsidP="001F55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E555547" w14:textId="77777777" w:rsidR="008423E4" w:rsidRDefault="008423E4" w:rsidP="001F5580"/>
          <w:p w14:paraId="4AB549F4" w14:textId="77777777" w:rsidR="008423E4" w:rsidRPr="003624F2" w:rsidRDefault="0018519F" w:rsidP="001F5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7E2E238" w14:textId="77777777" w:rsidR="008423E4" w:rsidRPr="00233FDB" w:rsidRDefault="008423E4" w:rsidP="001F5580">
            <w:pPr>
              <w:rPr>
                <w:b/>
              </w:rPr>
            </w:pPr>
          </w:p>
        </w:tc>
      </w:tr>
      <w:tr w:rsidR="00037A41" w14:paraId="14763460" w14:textId="77777777" w:rsidTr="00345119">
        <w:tc>
          <w:tcPr>
            <w:tcW w:w="9576" w:type="dxa"/>
          </w:tcPr>
          <w:p w14:paraId="1D285CDD" w14:textId="77777777" w:rsidR="00361A56" w:rsidRDefault="0018519F" w:rsidP="001F558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D20CD09" w14:textId="77777777" w:rsidR="00E002A7" w:rsidRDefault="00E002A7" w:rsidP="001F5580">
            <w:pPr>
              <w:jc w:val="both"/>
            </w:pPr>
          </w:p>
          <w:p w14:paraId="1114004F" w14:textId="3831EB62" w:rsidR="00E002A7" w:rsidRDefault="0018519F" w:rsidP="001F5580">
            <w:pPr>
              <w:jc w:val="both"/>
            </w:pPr>
            <w:r>
              <w:t xml:space="preserve">While C.S.H.B. </w:t>
            </w:r>
            <w:r w:rsidR="0096290B">
              <w:t>2483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6E1FD927" w14:textId="0213BD47" w:rsidR="0096290B" w:rsidRDefault="0096290B" w:rsidP="001F5580">
            <w:pPr>
              <w:jc w:val="both"/>
            </w:pPr>
          </w:p>
          <w:p w14:paraId="58B21EEA" w14:textId="77777777" w:rsidR="0092280F" w:rsidRDefault="0018519F" w:rsidP="001F5580">
            <w:pPr>
              <w:jc w:val="both"/>
            </w:pPr>
            <w:r>
              <w:t>The substitute includes</w:t>
            </w:r>
            <w:r w:rsidR="000744DA">
              <w:t xml:space="preserve"> </w:t>
            </w:r>
            <w:r>
              <w:t>the following:</w:t>
            </w:r>
          </w:p>
          <w:p w14:paraId="144DD780" w14:textId="67958243" w:rsidR="0092280F" w:rsidRDefault="0018519F" w:rsidP="001F558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an authorization for a utility to </w:t>
            </w:r>
            <w:r w:rsidR="0096290B">
              <w:t>operat</w:t>
            </w:r>
            <w:r>
              <w:t>e</w:t>
            </w:r>
            <w:r w:rsidR="0096290B">
              <w:t xml:space="preserve"> </w:t>
            </w:r>
            <w:r>
              <w:t>the long lead time</w:t>
            </w:r>
            <w:r w:rsidR="00F67888">
              <w:t xml:space="preserve"> facilities</w:t>
            </w:r>
            <w:r>
              <w:t>;</w:t>
            </w:r>
          </w:p>
          <w:p w14:paraId="7D472B61" w14:textId="787D8680" w:rsidR="0092280F" w:rsidRDefault="0018519F" w:rsidP="001F558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prohibition against a utility that leases and operates the facilities that provide </w:t>
            </w:r>
            <w:r w:rsidR="00BA5976">
              <w:t xml:space="preserve">temporary </w:t>
            </w:r>
            <w:r>
              <w:t>emergency electric energy from selling energy or ancillary services from those facilitie</w:t>
            </w:r>
            <w:r>
              <w:t xml:space="preserve">s; </w:t>
            </w:r>
          </w:p>
          <w:p w14:paraId="2A56892F" w14:textId="77777777" w:rsidR="0092280F" w:rsidRDefault="0018519F" w:rsidP="001F558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 w:rsidRPr="009F2162">
              <w:t xml:space="preserve">a requirement </w:t>
            </w:r>
            <w:r>
              <w:t>for</w:t>
            </w:r>
            <w:r w:rsidRPr="009F2162">
              <w:t xml:space="preserve"> a lease </w:t>
            </w:r>
            <w:r>
              <w:t xml:space="preserve">of such a facility to </w:t>
            </w:r>
            <w:r w:rsidRPr="009F2162">
              <w:t>be treated as a capital lease or financ</w:t>
            </w:r>
            <w:r>
              <w:t>e lease for ratemaking purposes;</w:t>
            </w:r>
          </w:p>
          <w:p w14:paraId="5D273156" w14:textId="77777777" w:rsidR="0092280F" w:rsidRDefault="0018519F" w:rsidP="001F558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</w:t>
            </w:r>
            <w:r w:rsidR="003A439E">
              <w:t xml:space="preserve">requirement for a </w:t>
            </w:r>
            <w:r w:rsidR="002F1121">
              <w:t>utilit</w:t>
            </w:r>
            <w:r w:rsidR="003A439E">
              <w:t>y</w:t>
            </w:r>
            <w:r>
              <w:t xml:space="preserve"> to include in the utility's emergency operations plan a detailed pl</w:t>
            </w:r>
            <w:r w:rsidR="003A439E">
              <w:t>an on the utility'</w:t>
            </w:r>
            <w:r>
              <w:t>s use of the applic</w:t>
            </w:r>
            <w:r>
              <w:t>able facilities; and</w:t>
            </w:r>
          </w:p>
          <w:p w14:paraId="6FDA7AFB" w14:textId="2ED44E47" w:rsidR="00FF2D8E" w:rsidRDefault="0018519F" w:rsidP="001F558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specification that the costs authorized to be recovered under the bill are reasonable and necessary </w:t>
            </w:r>
            <w:r w:rsidR="003A439E">
              <w:t xml:space="preserve">costs </w:t>
            </w:r>
            <w:r>
              <w:t>and, for a utility that leases a facility, include the present value of future payments required under the lease.</w:t>
            </w:r>
          </w:p>
          <w:p w14:paraId="2ECF267B" w14:textId="00109921" w:rsidR="009F2162" w:rsidRDefault="009F2162" w:rsidP="001F5580">
            <w:pPr>
              <w:jc w:val="both"/>
            </w:pPr>
          </w:p>
          <w:p w14:paraId="4BD14B00" w14:textId="0F549958" w:rsidR="009F2162" w:rsidRDefault="0018519F" w:rsidP="001F5580">
            <w:pPr>
              <w:jc w:val="both"/>
            </w:pPr>
            <w:r>
              <w:t>The substitu</w:t>
            </w:r>
            <w:r>
              <w:t xml:space="preserve">te does not include a requirement </w:t>
            </w:r>
            <w:r w:rsidR="003A439E">
              <w:t xml:space="preserve">for </w:t>
            </w:r>
            <w:r>
              <w:t xml:space="preserve">a utility that seeks cost recovery </w:t>
            </w:r>
            <w:r w:rsidR="003A439E">
              <w:t xml:space="preserve">to </w:t>
            </w:r>
            <w:r>
              <w:t xml:space="preserve">submit an analysis of the costs and benefits of owning versus leasing the facilities if the facilities are available in the competitive marketplace. </w:t>
            </w:r>
          </w:p>
          <w:p w14:paraId="3B8B7406" w14:textId="666BC3C7" w:rsidR="00247D76" w:rsidRDefault="00247D76" w:rsidP="001F5580">
            <w:pPr>
              <w:jc w:val="both"/>
            </w:pPr>
          </w:p>
          <w:p w14:paraId="4F42A6F2" w14:textId="3CA6A0C6" w:rsidR="00247D76" w:rsidRDefault="0018519F" w:rsidP="001F5580">
            <w:pPr>
              <w:jc w:val="both"/>
            </w:pPr>
            <w:r>
              <w:t>The substitute does not inclu</w:t>
            </w:r>
            <w:r>
              <w:t xml:space="preserve">de the authorization for a transmission and distribution utility to own and operate facilities that provide temporary, emergency electric energy to aid </w:t>
            </w:r>
            <w:r w:rsidR="00C83FFD">
              <w:t xml:space="preserve">certain </w:t>
            </w:r>
            <w:r>
              <w:t>restoration efforts.</w:t>
            </w:r>
          </w:p>
          <w:p w14:paraId="4BB5B1E3" w14:textId="3D6C1370" w:rsidR="00E002A7" w:rsidRPr="00E002A7" w:rsidRDefault="00E002A7" w:rsidP="001F5580">
            <w:pPr>
              <w:jc w:val="both"/>
            </w:pPr>
          </w:p>
        </w:tc>
      </w:tr>
      <w:tr w:rsidR="00037A41" w14:paraId="1E678881" w14:textId="77777777" w:rsidTr="00345119">
        <w:tc>
          <w:tcPr>
            <w:tcW w:w="9576" w:type="dxa"/>
          </w:tcPr>
          <w:p w14:paraId="02E1758E" w14:textId="77777777" w:rsidR="00361A56" w:rsidRPr="009C1E9A" w:rsidRDefault="00361A56" w:rsidP="001F5580">
            <w:pPr>
              <w:rPr>
                <w:b/>
                <w:u w:val="single"/>
              </w:rPr>
            </w:pPr>
          </w:p>
        </w:tc>
      </w:tr>
      <w:tr w:rsidR="00037A41" w14:paraId="3C6ACF5C" w14:textId="77777777" w:rsidTr="00345119">
        <w:tc>
          <w:tcPr>
            <w:tcW w:w="9576" w:type="dxa"/>
          </w:tcPr>
          <w:p w14:paraId="0F86AB6B" w14:textId="77777777" w:rsidR="00361A56" w:rsidRPr="00361A56" w:rsidRDefault="00361A56" w:rsidP="001F5580">
            <w:pPr>
              <w:jc w:val="both"/>
            </w:pPr>
          </w:p>
        </w:tc>
      </w:tr>
    </w:tbl>
    <w:p w14:paraId="06E62CCE" w14:textId="77777777" w:rsidR="008423E4" w:rsidRPr="00BE0E75" w:rsidRDefault="008423E4" w:rsidP="001F5580">
      <w:pPr>
        <w:jc w:val="both"/>
        <w:rPr>
          <w:rFonts w:ascii="Arial" w:hAnsi="Arial"/>
          <w:sz w:val="16"/>
          <w:szCs w:val="16"/>
        </w:rPr>
      </w:pPr>
    </w:p>
    <w:p w14:paraId="47518D1D" w14:textId="77777777" w:rsidR="004108C3" w:rsidRPr="008423E4" w:rsidRDefault="004108C3" w:rsidP="001F558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2844" w14:textId="77777777" w:rsidR="00000000" w:rsidRDefault="0018519F">
      <w:r>
        <w:separator/>
      </w:r>
    </w:p>
  </w:endnote>
  <w:endnote w:type="continuationSeparator" w:id="0">
    <w:p w14:paraId="38C00FFC" w14:textId="77777777" w:rsidR="00000000" w:rsidRDefault="0018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584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7A41" w14:paraId="30654896" w14:textId="77777777" w:rsidTr="009C1E9A">
      <w:trPr>
        <w:cantSplit/>
      </w:trPr>
      <w:tc>
        <w:tcPr>
          <w:tcW w:w="0" w:type="pct"/>
        </w:tcPr>
        <w:p w14:paraId="41E1D2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66B1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A54A2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1B73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25C0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7A41" w14:paraId="27F98040" w14:textId="77777777" w:rsidTr="009C1E9A">
      <w:trPr>
        <w:cantSplit/>
      </w:trPr>
      <w:tc>
        <w:tcPr>
          <w:tcW w:w="0" w:type="pct"/>
        </w:tcPr>
        <w:p w14:paraId="389E7B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063B33" w14:textId="528C2C64" w:rsidR="00EC379B" w:rsidRPr="009C1E9A" w:rsidRDefault="001851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18471</w:t>
          </w:r>
        </w:p>
      </w:tc>
      <w:tc>
        <w:tcPr>
          <w:tcW w:w="2453" w:type="pct"/>
        </w:tcPr>
        <w:p w14:paraId="1119DB29" w14:textId="6197A1BB" w:rsidR="00EC379B" w:rsidRDefault="001851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93AC5">
            <w:t>21.96.1947</w:t>
          </w:r>
          <w:r>
            <w:fldChar w:fldCharType="end"/>
          </w:r>
        </w:p>
      </w:tc>
    </w:tr>
    <w:tr w:rsidR="00037A41" w14:paraId="4D5B30E4" w14:textId="77777777" w:rsidTr="009C1E9A">
      <w:trPr>
        <w:cantSplit/>
      </w:trPr>
      <w:tc>
        <w:tcPr>
          <w:tcW w:w="0" w:type="pct"/>
        </w:tcPr>
        <w:p w14:paraId="29B9CE4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2A2D2A" w14:textId="30E8F524" w:rsidR="00EC379B" w:rsidRPr="009C1E9A" w:rsidRDefault="001851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17172</w:t>
          </w:r>
        </w:p>
      </w:tc>
      <w:tc>
        <w:tcPr>
          <w:tcW w:w="2453" w:type="pct"/>
        </w:tcPr>
        <w:p w14:paraId="65137BC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803A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7A41" w14:paraId="0A9DF40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E6F83CE" w14:textId="56826D5C" w:rsidR="00EC379B" w:rsidRDefault="001851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F558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7203B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8A863E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F6E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BAECC" w14:textId="77777777" w:rsidR="00000000" w:rsidRDefault="0018519F">
      <w:r>
        <w:separator/>
      </w:r>
    </w:p>
  </w:footnote>
  <w:footnote w:type="continuationSeparator" w:id="0">
    <w:p w14:paraId="62BD3545" w14:textId="77777777" w:rsidR="00000000" w:rsidRDefault="0018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58E1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C9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566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450A"/>
    <w:multiLevelType w:val="hybridMultilevel"/>
    <w:tmpl w:val="BB900A92"/>
    <w:lvl w:ilvl="0" w:tplc="79485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42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0E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CE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A4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8E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6E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43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A1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2653"/>
    <w:multiLevelType w:val="hybridMultilevel"/>
    <w:tmpl w:val="019E60F0"/>
    <w:lvl w:ilvl="0" w:tplc="F9F4C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62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0D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26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05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29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2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89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0E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6B5D"/>
    <w:multiLevelType w:val="hybridMultilevel"/>
    <w:tmpl w:val="1E0E5B88"/>
    <w:lvl w:ilvl="0" w:tplc="C3483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C4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8D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A7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8D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E0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04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EE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C6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5F96"/>
    <w:rsid w:val="000200EA"/>
    <w:rsid w:val="00020C1E"/>
    <w:rsid w:val="00020E9B"/>
    <w:rsid w:val="00021977"/>
    <w:rsid w:val="000236C1"/>
    <w:rsid w:val="000236EC"/>
    <w:rsid w:val="0002413D"/>
    <w:rsid w:val="000249F2"/>
    <w:rsid w:val="00027E81"/>
    <w:rsid w:val="0003094F"/>
    <w:rsid w:val="00030AD8"/>
    <w:rsid w:val="0003107A"/>
    <w:rsid w:val="00031C95"/>
    <w:rsid w:val="000330D4"/>
    <w:rsid w:val="0003572D"/>
    <w:rsid w:val="00035DB0"/>
    <w:rsid w:val="00037088"/>
    <w:rsid w:val="00037A41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4DA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4A1A"/>
    <w:rsid w:val="00127893"/>
    <w:rsid w:val="001312BB"/>
    <w:rsid w:val="00137D90"/>
    <w:rsid w:val="00141FB6"/>
    <w:rsid w:val="00142F8E"/>
    <w:rsid w:val="00143C8B"/>
    <w:rsid w:val="00147530"/>
    <w:rsid w:val="0015331F"/>
    <w:rsid w:val="00154229"/>
    <w:rsid w:val="00156AB2"/>
    <w:rsid w:val="00160402"/>
    <w:rsid w:val="00160571"/>
    <w:rsid w:val="00160703"/>
    <w:rsid w:val="00161E93"/>
    <w:rsid w:val="00162C7A"/>
    <w:rsid w:val="00162DAE"/>
    <w:rsid w:val="001639C5"/>
    <w:rsid w:val="00163E45"/>
    <w:rsid w:val="00164F34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19F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9FD"/>
    <w:rsid w:val="001A0739"/>
    <w:rsid w:val="001A0F00"/>
    <w:rsid w:val="001A1E12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580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47D76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80F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3E87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DBD"/>
    <w:rsid w:val="002E7DF9"/>
    <w:rsid w:val="002F097B"/>
    <w:rsid w:val="002F1121"/>
    <w:rsid w:val="002F3111"/>
    <w:rsid w:val="002F4AEC"/>
    <w:rsid w:val="002F795D"/>
    <w:rsid w:val="00300823"/>
    <w:rsid w:val="00300D7F"/>
    <w:rsid w:val="00301638"/>
    <w:rsid w:val="00303B0C"/>
    <w:rsid w:val="0030459C"/>
    <w:rsid w:val="00313594"/>
    <w:rsid w:val="00313DFE"/>
    <w:rsid w:val="003143B2"/>
    <w:rsid w:val="00314821"/>
    <w:rsid w:val="0031483F"/>
    <w:rsid w:val="0031741B"/>
    <w:rsid w:val="003211BA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AFE"/>
    <w:rsid w:val="00357CA1"/>
    <w:rsid w:val="00361A56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39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F5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6AE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B7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87B"/>
    <w:rsid w:val="004F32AD"/>
    <w:rsid w:val="004F57CB"/>
    <w:rsid w:val="004F64F6"/>
    <w:rsid w:val="004F69C0"/>
    <w:rsid w:val="00500121"/>
    <w:rsid w:val="005017AC"/>
    <w:rsid w:val="00501E8A"/>
    <w:rsid w:val="00502DA8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556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744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141"/>
    <w:rsid w:val="0062704A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27D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5A7D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F2C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4B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80D"/>
    <w:rsid w:val="00755C7B"/>
    <w:rsid w:val="00764786"/>
    <w:rsid w:val="00766E12"/>
    <w:rsid w:val="0077098E"/>
    <w:rsid w:val="00771287"/>
    <w:rsid w:val="0077149E"/>
    <w:rsid w:val="007749F8"/>
    <w:rsid w:val="007752EB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709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24C"/>
    <w:rsid w:val="008B05D8"/>
    <w:rsid w:val="008B0B3D"/>
    <w:rsid w:val="008B2B1A"/>
    <w:rsid w:val="008B3428"/>
    <w:rsid w:val="008B7785"/>
    <w:rsid w:val="008C0809"/>
    <w:rsid w:val="008C132C"/>
    <w:rsid w:val="008C1650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80F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790"/>
    <w:rsid w:val="00946044"/>
    <w:rsid w:val="009465AB"/>
    <w:rsid w:val="00946DEE"/>
    <w:rsid w:val="00953499"/>
    <w:rsid w:val="00954A16"/>
    <w:rsid w:val="00955A65"/>
    <w:rsid w:val="0095696D"/>
    <w:rsid w:val="0096290B"/>
    <w:rsid w:val="0096482F"/>
    <w:rsid w:val="00964E3A"/>
    <w:rsid w:val="00967126"/>
    <w:rsid w:val="00970DF9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1EB"/>
    <w:rsid w:val="009A4588"/>
    <w:rsid w:val="009A5EA5"/>
    <w:rsid w:val="009B00C2"/>
    <w:rsid w:val="009B26AB"/>
    <w:rsid w:val="009B3476"/>
    <w:rsid w:val="009B39BC"/>
    <w:rsid w:val="009B5069"/>
    <w:rsid w:val="009B5666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162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E37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3E0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2E3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97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641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B96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778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FFD"/>
    <w:rsid w:val="00C9047F"/>
    <w:rsid w:val="00C91F65"/>
    <w:rsid w:val="00C92310"/>
    <w:rsid w:val="00C93AC5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2D60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DB6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2D1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74C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2A7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BD9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AE3"/>
    <w:rsid w:val="00EA385A"/>
    <w:rsid w:val="00EA3931"/>
    <w:rsid w:val="00EA658E"/>
    <w:rsid w:val="00EA7A88"/>
    <w:rsid w:val="00EB27F2"/>
    <w:rsid w:val="00EB3928"/>
    <w:rsid w:val="00EB4249"/>
    <w:rsid w:val="00EB5373"/>
    <w:rsid w:val="00EC02A2"/>
    <w:rsid w:val="00EC1966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2E1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61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888"/>
    <w:rsid w:val="00F67981"/>
    <w:rsid w:val="00F706CA"/>
    <w:rsid w:val="00F70F8D"/>
    <w:rsid w:val="00F71C5A"/>
    <w:rsid w:val="00F733A4"/>
    <w:rsid w:val="00F738A8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D8E"/>
    <w:rsid w:val="00FF34C8"/>
    <w:rsid w:val="00FF4341"/>
    <w:rsid w:val="00FF4A5E"/>
    <w:rsid w:val="00FF517B"/>
    <w:rsid w:val="00FF60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90FCDB-6CB7-4DCC-BD77-5F24D537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09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9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94F"/>
    <w:rPr>
      <w:b/>
      <w:bCs/>
    </w:rPr>
  </w:style>
  <w:style w:type="character" w:styleId="Hyperlink">
    <w:name w:val="Hyperlink"/>
    <w:basedOn w:val="DefaultParagraphFont"/>
    <w:unhideWhenUsed/>
    <w:rsid w:val="000309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F60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16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4639</Characters>
  <Application>Microsoft Office Word</Application>
  <DocSecurity>4</DocSecurity>
  <Lines>103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HB02483 (Committee Report (Substituted))</vt:lpstr>
    </vt:vector>
  </TitlesOfParts>
  <Company>State of Texas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18471</dc:subject>
  <dc:creator>State of Texas</dc:creator>
  <dc:description>HB 2483 by King, Phil-(H)State Affairs (Substitute Document Number: 87R 17172)</dc:description>
  <cp:lastModifiedBy>Stacey Nicchio</cp:lastModifiedBy>
  <cp:revision>2</cp:revision>
  <cp:lastPrinted>2003-11-26T17:21:00Z</cp:lastPrinted>
  <dcterms:created xsi:type="dcterms:W3CDTF">2021-04-12T22:28:00Z</dcterms:created>
  <dcterms:modified xsi:type="dcterms:W3CDTF">2021-04-12T22:28:00Z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21.96.1947</vt:lpwstr>
  </property>
</Properties>
</file>